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26. novembra noteikumos Nr. 751 "Eiropas Savienības kohēzijas politikas programmas 2021.–2027. gadam 2.5.1. specifiskā atbalsta mērķa "Ieguldījumi, kas atbalsta STEP mērķu sasniegšanu"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noteiktais kopējais finansējums ir attiecināms, ja līdz 2026. gada 31. martam tiks noslēgti līgumi ar tīro tehnoloģiju komersantiem (jūras vēju un sauszemes vēju tehnoloģiju komponentu ražošanas jomā) par šo noteikumu </w:t>
            </w:r>
            <w:r w:rsidR="00000000" w:rsidRPr="00000000" w:rsidDel="00000000">
              <w:rPr>
                <w:rtl w:val="0"/>
              </w:rPr>
              <w:t xml:space="preserve">10.2.1.</w:t>
            </w:r>
            <w:r w:rsidR="00000000" w:rsidRPr="00000000" w:rsidDel="00000000">
              <w:rPr>
                <w:rtl w:val="0"/>
              </w:rPr>
              <w:t xml:space="preserve"> apakšpunktā</w:t>
            </w:r>
            <w:r w:rsidR="00000000" w:rsidRPr="00000000" w:rsidDel="00000000">
              <w:rPr>
                <w:rtl w:val="0"/>
              </w:rPr>
              <w:t xml:space="preserve"> minētās infrastruktūras iznomāšanu. Ja līdz noteiktajam termiņam līgumi netiek noslēgti, finansējuma saņēmējs atdod sadarbības iestādei visu līdz 2026. gada 31. martam izmaksāto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26. novembra noteikumu Nr. 751 "Eiropas Savienības kohēzijas politikas programmas 2021.–2027. gadam 2.5.1. specifiskā atbalsta mērķa "Ieguldījumi, kas atbalsta STEP mērķu sasniegšanu" īstenošanas noteikumi" (turpmāk – noteikumi Nr. 751) 12. punktā noteikto prasību par līgumu noslēgšanu ar tīro tehnoloģiju komersantiem par  noteikumu Nr.751 10.2.1.apakšpunktā minētās infrastruktūras iznomāšanu, lūdzam Ekonomikas ministriju sadarbībā ar Centrālo finanšu un līgumu aģentūru izvērtēt un sniegt Finanšu ministrijai informāciju, vai finansējuma saņēmējs spēs izpildīt šo nosacījumu, ņemot vērā ierosināto līguma slēgšanas termiņa pagarināšanu. līdz 2026. gada 31.martam.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š.g.18.decembrī notikušajā sanāksmē panāktajai vienošanās, lūdzam EM papildināt anotāciju ar informāciju par noteikumu Nr. 751 12.punktā minētā līguma saturu, kā arī sniegt skaidrojumu, vai līguma prasības atbilst ar Eiropas Komisiju panāktajai vienošanās un nodrošina finansējuma attiecināmību.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gūtu plašāku un korektāku priekšstatu par problemātiku, lūdzam anotācijā sniegt plašāku informāciju par šī brīža situāciju/progresu ar investoru piesaisti.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ierosināto grozījumu ietekmi uz uzsākto projektu iesniegumu atlases kārtu, projekta iesniedzējiem vai finansējuma saņēmējiem, kā arī īstenošanā esošajiem projektiem, t.i. vai būs nepieciešami grozījumi noslēgtajos līgumos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Ciekurs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nodrošināt interešu konflikta neesību saskaņā ar Eiropas Parlamenta un Padomes 2024. gada 23. septembra Regulas (ES, Euratom) </w:t>
            </w:r>
            <w:r w:rsidR="00000000" w:rsidRPr="00000000" w:rsidDel="00000000">
              <w:rPr>
                <w:rtl w:val="0"/>
              </w:rPr>
              <w:t xml:space="preserve">2024/2509</w:t>
            </w:r>
            <w:r w:rsidR="00000000" w:rsidRPr="00000000" w:rsidDel="00000000">
              <w:rPr>
                <w:rtl w:val="0"/>
              </w:rPr>
              <w:t xml:space="preserve"> par finanšu noteikumiem, ko piemēro Savienības vispārējam budžetam (pārstrādātā redakcija) (turpmāk – regula Nr. </w:t>
            </w:r>
            <w:r w:rsidR="00000000" w:rsidRPr="00000000" w:rsidDel="00000000">
              <w:rPr>
                <w:rtl w:val="0"/>
              </w:rPr>
              <w:t xml:space="preserve">2024/2509</w:t>
            </w:r>
            <w:r w:rsidR="00000000" w:rsidRPr="00000000" w:rsidDel="00000000">
              <w:rPr>
                <w:rtl w:val="0"/>
              </w:rPr>
              <w:t xml:space="preserve">), 61. panta prasībām un normatīvajiem aktiem publisko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noteikumu Nr. 751 28.4.apakšpunktā iekļaut atsauci uz Eiropas Parlamenta un Padomes 2024. gada 23. septembra Regulas (ES, Euratom) 2024/2509 par finanšu noteikumiem, ko piemēro Savienības vispārējam budžetam (pārstrādātā redakcija) (turpmāk - Finanšu regula) 61.pantu, ņemot vērā konkrētā specifiskā atbalsta mērķa projekta veidu, kā arī to, ka  Finanšu regulas 61.panta prasības ir tieši attiecināmas uz tādiem projektiem, kas saistīti ar Eiropas Savienības (turpmāk - ES) fondu atbalsta saņemšanu un vienlaikus kuros atbilstoši specifiskā atbalsta mērķim finansējuma saņēmējs atlases kārtībā ES fondu dalībniekiem vai gala saņēmējiem sniedz finansiālu atbalstu (t.s. daudzpakāpju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nodrošināt interešu konflikta neesību.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25-TA-2821</w:t>
    </w:r>
    <w:r>
      <w:br/>
    </w:r>
    <w:r w:rsidR="00000000" w:rsidRPr="00000000" w:rsidDel="00000000">
      <w:rPr>
        <w:rtl w:val="0"/>
      </w:rPr>
      <w:t xml:space="preserve">Izdrukāts 19.12.2025.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25-TA-2821</w:t>
    </w:r>
    <w:r>
      <w:br/>
    </w:r>
    <w:r w:rsidR="00000000" w:rsidRPr="00000000" w:rsidDel="00000000">
      <w:rPr>
        <w:rtl w:val="0"/>
      </w:rPr>
      <w:t xml:space="preserve">Izdrukāts 19.12.2025.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Atzinumi_25-TA-2821.docx</dc:title>
</cp:coreProperties>
</file>

<file path=docProps/custom.xml><?xml version="1.0" encoding="utf-8"?>
<Properties xmlns="http://schemas.openxmlformats.org/officeDocument/2006/custom-properties" xmlns:vt="http://schemas.openxmlformats.org/officeDocument/2006/docPropsVTypes"/>
</file>