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iznīcināts, aizsargājamam kokam statusa maiņa (iznīcināts) tiek reģistrēta aizsargājamo teritoriju valsts reģistrā. Ieraksts par aizsargājamā koka statusa maiņu (iznīcināts) aizsargājamo teritoriju valsts reģistrā saglabājams 20 gadus no pārkāpuma konstatēšanas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15 metru rādiusā, mērot no iznīcinātā aizsargājamā koka celma, aizliegts veikt  būvniecību, izņemot esošu ēku un būvju atjaunošanu un pārbūvi un inženierbūvju būvniecību ar Dabas aizsardzības pārvaldes rakstisku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par to, ka, ņemot vērā pieredzi ar Dabas datu sistēmas “Ozols” datu izmantošanu pašvaldību vajadzībām, piemēram, teritorijas plānojumu izstrādē, aizsargjoslu noteikšanā u.c., nav pārliecības, ka dabas datu sistēmā “Ozols” aizsargājamā koka atrašanās vieta nav atzīmēta ar tādu precizitāti, lai to varētu izmantot apgrūtinājumu uzlikšanai 15m rādiusā. Ja aizsargājamā koka atrašanās vieta Ozolā ir kaut vai ar 5-10m nobīdi, tas var būtiski ietekmēt paredzētā apgrūtinājuma piemērošanu. Izziņā ir minēts, ka LPS iepriekšējais iebildums ir ņemts vērā un papildināta Anotācija, taču attiecībā uz datu precizitāti neatrodam nekādu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24.04.2025.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24.04.2025.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