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darbības kārtības noteikumi un daudzgadu darbības programma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uz reģionālās attīstības ministrija, lai nodrošinātu pozitīvu ietekmi uz reģionu līdzsvarotu attīstību, aicina Modernizācijas fonda finansējumu dalīt visiem plānošanas reģioniem vienādās daļās un ieguldījumus balstīt uz reģionu/pašvaldību attīstības programmām, kur tiktu noteikti ieguldījumu teritorijas/objekti.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Jureviča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14. janvāra sēdē izskatītajā informatīvajā ziņojumā "Par Modernizācijas fonda ieviešanu" norādīto par fonda finansēšanu Modernizācijas fonda finansējums tiks nodrošināts, izsolot emisijas kvotas. Saskaņā ar Direktīvas 2018/410 preambulas 16. punktā norādīto, Modernizācijas fonda emisijas kvotas tiks izsolītas saskaņā ar Regulu 1031/2010, turklāt tas notiks Kopējā izsoļu platformā. Saskaņā ar Ministru kabineta 2012. gada 25. septembra noteikumu Nr. 657  5. punktu kompetentā iestāde emisijas kvotu izsolīšanas nodrošināšanā ir VARAM, lūdzam pievienot anotācijā informāciju par to, ka saskaņā ar 2022. gada 20. jūlija Ministru kabineta rīkojuma Nr. 537 "Par valsts atbalstu pašvaldībām, lai nodrošinātu iedzīvotājiem kvalitatīvus un pieejamus īres mājokļus" 4. punktu, VARAM veidotai Mājokļu fonda institūcijai ir rezervēts finansējums 100 000 000 EUR apmērā no Emisijas kvotu izsolīšanas instrumenta, norādot, ka Modernizācijas fonda ieviešanai nepieciešamais finansējums netiks izgūts no rezervētajiem VARAM veidojamai Mājokļu fonda institūcijai nepieciešamajiem 100 000 000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fonda finansējums tiks nodrošināts, izsolot emisijas kvotas, vienlaikus ievērojot 2022. gada 20. jūlija Ministru kabineta rīkojuma Nr. 537 "Par valsts atbalstu pašvaldībām, lai nodrošinātu iedzīvotājiem kvalitatīvus un pieejamus īres mājokļus" nosacījumus, paredzot, ka Modernizācijas fonda ieviešanai nepieciešamais finansējums netiks izgūts no VARAM veidojamai Mājokļu fonda institūcijai (Emisijas kvotu izsolīšanas instrumenta ietvaros) paredzētajiem 100 000 000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Jureviča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Ministru kabineta noteikumu projekta anotācijas 1.3. sadaļu “Risinājumu apraksts” par Modernizācijas fonda atbalsta programmu skaidru un nepārprotamu demarkācijas nodrošināšanu ar šādām Vides aizsardzības un reģionālās attīstības ministrijas atbildībā esošām investīciju programmām no Eiropas Savienības kohēzijas politikas programmas 2021. – 2027. gadam - 2.1.1. specifiskā atbalsta mērķa “Energoefektivitātes veicināšana un siltumnīcefekta gāzu emisiju samazināšana”  2.1.1.6. pasākums “Pašvaldību ēku energoefektivitātes paaugstināšana” un 6.1.1. specifiskā atbalsta mērķa “Pārejas uz klimatneitralitāti radīto ekonomisko, sociālo un vides seku mazināšana visvairāk skartajos reģionos”  6.1.1.6. pasākums “Bezemisiju transportlīdzekļu izmantošanas veicināšana pašvaldībās” -  un no Atveseļošanas un noturības mehānisma - investīciju virziena 1.2. "Energoefektivitātes uzlabošana" 1.2.1.3.i. investīcija "Pašvaldību ēku un infrastruktūras uzlabošana, veicinot pāreju uz atjaunojamo energoresursu tehnoloģiju izmantošanu un uzlabojot energoefektivitāti" un 3.1. reformu un investīciju virziena "Reģionālā politika" 3.1.1.6.i. investīcija "Pašvaldību funkciju īstenošanai un pakalpojumu sniegšanai nepieciešamo bezemisiju transportlīdzekļu iegāde", kur atbalsts ir paredzēts pašvaldībām ēku energoefektivitātes paaugstināšanai un AER ieviešanai, kā arī bezemisiju transportlīdzekļu iegādei un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ieteicams papildu norādīt, vai ir paredzēts programmās pieļaut dažādu finanšu avotu finansējuma apvienošanu (kumulāciju) par tām pašām attiecināmajām izmaksām, ņemot vērā, ka šāds risinājums padara sarežģītāku un cilvēkresursu ietilpīgāku projektu vērtēšanas un ieviešanas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Jureviča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Ieviešanas iestāde projekta līguma vispārīgajos noteikumos iekļauj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papildināt MK noteikumu projekta 30.punktu ar nosacījumu par projekta līgumā iekļaujamajiem nosacījumiem par dubultās finansēšanas uzraudzību, lai finansējuma saņēmējs projekta kopējos izdevumos nav iekļāvis izdevumus, kas vienlaikus tikuši, tiek finansēti vai kurus plānots finansēt no citiem ES, finanšu instrumentu, valsts vai pašvaldības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Jureviča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12.05.2023.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12.05.2023.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