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Eiropas Zaļā kursa uzdevumiem ir nodrošināt tīru, pieejamu un drošu enerģiju gan siltumapgādē gan transportā.   Enerģētikas sektora attīstība jānodrošina, balstoties uz atjaunojamajiem energoresursiem, īstenojot gāzes dekarbonizāciju (dažās pašvaldībās ir gāzes apkures sistēmas). Saskaņā ar EK uzstādījumiem kā prioritāte ir jānosaka atjaunojamo resursu, energoefektivitātes un citu ilgtspējīgu risinājumu ieviešana dažādos sektoros, kas palīdzētu sasniegt dekarbonizācijas mērķus ar viszemākajām izmaksām gan pašvaldībām un sabiedriskā pakalpojuma sniedzējiem, gan komersantiem. Lai arī atjaunojamo resursu izmantošanas izmaksu samazinājumam ir izstrādāti dažādi atbalsta mehānismi, LPS secina ka tas ir nepietiekams, lai sasniegtu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Rīgas metropoles un reģionu attīstības potenciālu, aicinām koncentrēties uz investīcijām labvēlīgas vides piedāvājumu un izmaksu ziņā konkurētspējīgu uzņēmējdarbības infrastruktūras nodrošināšanu, un skatīt visu nozaru ministriju pieejamos atbalsta instrumentus vienkopus. Apvienojot vienā dokumentā šo izkliedēto infromāciju būtu iespējams kritiski vērtēt plānotos mērķus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29.05.2023.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29.05.2023.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