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74"/>
              <w:gridCol w:w="330"/>
              <w:gridCol w:w="321"/>
              <w:gridCol w:w="313"/>
              <w:gridCol w:w="295"/>
              <w:gridCol w:w="261"/>
              <w:tblGridChange w:id="0">
                <w:tblGrid>
                  <w:gridCol w:w="0"/>
                  <w:gridCol w:w="674"/>
                  <w:gridCol w:w="330"/>
                  <w:gridCol w:w="321"/>
                  <w:gridCol w:w="313"/>
                  <w:gridCol w:w="295"/>
                  <w:gridCol w:w="2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2025.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Dabas resursu nodokļa likuma 1.pielikuma “Nodokļa likmes par dabas resursu ieguvi” 4. resursu veidam “4.Smilts, smilts-grants” nodokļa likme no 2026. gada 1. janvāra ir 0,55 euro. Ievērojot, to ka atbilstoši šobrīd spēka esošajai redakcijai Dabas resursu nodokļa likuma 1.pielikumā “Nodokļa likmes par dabas resursu ieguvi” resursu veidiem “Smilts” un “Smilts-grants” nodokļa likme no 2026. gada 1. janvāra ir 0,45 </w:t>
            </w:r>
            <w:r w:rsidR="00000000" w:rsidRPr="00000000" w:rsidDel="00000000">
              <w:rPr>
                <w:i w:val="1"/>
                <w:rtl w:val="0"/>
              </w:rPr>
              <w:t xml:space="preserve">euro</w:t>
            </w:r>
            <w:r w:rsidR="00000000" w:rsidRPr="00000000" w:rsidDel="00000000">
              <w:rPr>
                <w:rtl w:val="0"/>
              </w:rPr>
              <w:t xml:space="preserve"> un minētais likumprojekts neparedz minētās nodokļa likmes izmaiņas (tikai resursu veidu apvienošanu uz “Smilts, smilts-grants”), tad likumprojekta Dabas resursu nodokļa likuma 1.pielikuma “Nodokļa likmes par dabas resursu ieguvi” 4. resursu veidam “4.Smilts, smilts-grants” ir jāprecizē kļūdaini norādīto nodokļa likmi no 2026. gada 1. janvāra uz 0,45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1.2.sadaļā precizēt norādīto likumprojekta spēkā stāšanās termiņu, ievērojot, ka likums nevar stāties spēkā ar atpakaļejošu datumu. Līdz ar to ir nepieciešams precizēt likumprojekta stāšanās spēka termiņu ne ātrāk, kā 2026.gada 1.jūlijs.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Pieņēmums, ka videi kaitīgu preču atkritumu apsaimniekošana pamatā tiek īstenota ražotāja atbildības sistēmā un ka likmju izmaiņas 6.pielikuma 2.4.ailē minētajām precēm, to samazinot vairāk kā astoņas reizes, neietekmēs dabas resursu nodokļa ieņēmumus, nav korekts. Pēc Valsts ieņēmumu dienesta datiem 2025.gadā tika deklarēti 145,85 kg rūpniecisko bateriju, par kurām aprēķinātais nodoklis bija 2,483 tūkst. euro. Pēc likmes samazināšanas rūpnieciskām baterijām (arī stacionāras enerģiju uzkrājošo bateriju sistēmas un baterijas fotoelementu paneļu saražotās strāvas uzkrāšanai) sagaidāmais ieņēmumu samazinājums varētu sasniegt vismaz 2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5.ailes papildināšanu ar degvielas filtriem ir jāatzīmē, ka pēc Valsts ieņēmumu dienesta datiem 2025.gadā ir deklarēti 4697  eļļas filtru, par kuriem aprēķinātais nodoklis sasniedza 1,55 tūkst. </w:t>
            </w:r>
            <w:r w:rsidR="00000000" w:rsidRPr="00000000" w:rsidDel="00000000">
              <w:rPr>
                <w:i w:val="1"/>
                <w:rtl w:val="0"/>
              </w:rPr>
              <w:t xml:space="preserve">euro</w:t>
            </w:r>
            <w:r w:rsidR="00000000" w:rsidRPr="00000000" w:rsidDel="00000000">
              <w:rPr>
                <w:rtl w:val="0"/>
              </w:rPr>
              <w:t xml:space="preserve">. Pieņemot, ka deklarēto degvielas filtru proporcija atbilstu deklarēto eļļas filtru proporcijai, ir sagaidāms arī neliels fiskālais ieguvums - vismaz 1 tūkst.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anotācijas 3.sadaļu pie punkta "Citas informācija" papildināt ar aprakstu attiecībā uz 6.pielikumā minēto preču likmju izmaiņām norādot, ka sagaidāmā fiskālā ietekme varētu būt nenozīmīga un šobrīd nav precīzi nosakāma, kā arī papildinot anotācijas 3.sadaļas punktu “Cita informācija” ar izziņas 7.punktā norādīto skaidrojumu, lai kopumā būtu saprotams, kādēļ likumprojekta iekļautie grozījumi par Dabas resursu nodokļu likmju izmaiņām kopumā būtiski neietekmē plānotos Dabas resursu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vēl tiks aizpildīta anotācijas 3. sadaļa “Tiesību akta projekta ietekme uz valsts budžetu un pašvaldību budžetiem” provizoriskām izmaksām izmaiņu veikšanai Valsts ieņēmumu dienesta informācijas sistēmās un tiks nosūtīta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izmaksu aprēķins tika veikts pēc spēkā esošās Elektronisko iepirkumu sistēmas (EIS) Darba uzdevuma Nr.16 (EIS DU Nr.16) vienas c/d cenas, kas ir vienāda 232,32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var mainīties, ja risinājuma izstrāde tiks realizēta no cita EIS darba uzdevuma (ar citu 1 c/d cenu) vai EDS uzturēšanas līguma, par kuru pašreiz ir izsludināts iepirkuma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05.02.2026.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05.02.2026.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