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Trauksmes cēlējs ziņojumu iesniedz, norādot tajā ziņas par sevi (vārds, uzvārds, kontaktinformācija) un to, ka tas ir trauksmes cēlēja ziņojums, vai izmantojot trauksmes cēlēja ziņojuma veidlapu. Trauksmes cēlēja ziņojumu var iesniegt rakstveidā, elektroniskā veidā vai izteiktu mutvārdos. Papildus tam trauksmes cēlēja ziņojumu var iesniegt elektroniski bez droša elektroniskā paraksta valsts pārvaldes pakalpojumu portālā www.latvija.gov.lv vai tīmekļvietnē www.trauksmescelejs.lv, ja ziņojumu iesniedz un personas identitāti pārbauda, izmantojot tiešsaistes formas, kuras pieejamas portālā un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"Grozījumi Trauksmes celšanas likumā" (turpmāk - likumprojekts) 6. panta pirmajā daļā ietvertajā Trauksmes celšanas likuma (turpmāk - Likums) 6. panta pirmās daļas otrajā teikumā izslēgt vārdus "elektroniskā veidā", ņemot vērā to, ka ar iesnieguma un citu dokumentu iesniegšanu rakstveidā saprot gan iesnieguma un citu dokumentu iesniegšanu papīra formā, gan elektroniskā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likumprojekta sākotnējās ietekmes novērtējuma ziņojumā (turpmāk - anotācija) ietverto risinājuma aprakstu par likumprojekta 3. pantā (Likuma 3. panta pirmās daļas 23. punktā) iekļauto atsauci: "</w:t>
            </w:r>
            <w:r w:rsidR="00000000" w:rsidRPr="00000000" w:rsidDel="00000000">
              <w:rPr>
                <w:i w:val="1"/>
                <w:rtl w:val="0"/>
              </w:rPr>
              <w:t xml:space="preserve">[..] kā papildus precizēts Eiropas Savienības attiecīgajos pasākumos</w:t>
            </w:r>
            <w:r w:rsidR="00000000" w:rsidRPr="00000000" w:rsidDel="00000000">
              <w:rPr>
                <w:rtl w:val="0"/>
              </w:rPr>
              <w:t xml:space="preserve">," kas pārņem </w:t>
            </w:r>
            <w:r w:rsidR="00000000" w:rsidRPr="00000000" w:rsidDel="00000000">
              <w:rPr>
                <w:i w:val="1"/>
                <w:rtl w:val="0"/>
              </w:rPr>
              <w:t xml:space="preserve">Eiropas Parlamenta un Padomes 2019. gada 23. oktobra Direktīvas (ES) 2019/1937 par to personu aizsardzību, kuras ziņo par Savienības tiesību aktu pārkāpumiem,</w:t>
            </w:r>
            <w:r w:rsidR="00000000" w:rsidRPr="00000000" w:rsidDel="00000000">
              <w:rPr>
                <w:rtl w:val="0"/>
              </w:rPr>
              <w:t xml:space="preserve"> (turpmāk - Direktīva Nr. 2019/1937) 2. panta 1. punkta "b" apakšpunktu. Norādām, ka šāda vispārīga atsauce nenodrošina skaidrību par to, kuri tieši Eiropas Savienības tiesību akti ir piemērojami, kā arī termins "pasākumi" ietver ne tikai Eiropas Savienības tiesību aktus, bet arī juridiski nesaistoši dokumentus - vadlīnijas, rīcībpolitikas u.tml. Tiesību normu formulējumam jābūt pietiekami precīzam un saprotamam, lai tiesību subjekti varētu prognozēt savu tiesību un pienākumu apjomu. Vispārīgas atsauces uz “attiecīgajiem pasākumiem” ir interpretējamas plaši, tāpēc aicinām anotācijā papildināt attiecīgo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apakšsadaļas 1. tabulā precizēt projekta vienību, kas pārņem Direktīvas Nr. 2019/1937 9. panta 2. punktu, norādot uz Likuma 6. panta 1.</w:t>
            </w:r>
            <w:r w:rsidR="00000000" w:rsidRPr="00000000" w:rsidDel="00000000">
              <w:rPr>
                <w:vertAlign w:val="superscript"/>
                <w:rtl w:val="0"/>
              </w:rPr>
              <w:t xml:space="preserve">1</w:t>
            </w:r>
            <w:r w:rsidR="00000000" w:rsidRPr="00000000" w:rsidDel="00000000">
              <w:rPr>
                <w:rtl w:val="0"/>
              </w:rPr>
              <w:t xml:space="preserve"> daļu nevis 2.</w:t>
            </w:r>
            <w:r w:rsidR="00000000" w:rsidRPr="00000000" w:rsidDel="00000000">
              <w:rPr>
                <w:vertAlign w:val="superscript"/>
                <w:rtl w:val="0"/>
              </w:rPr>
              <w:t xml:space="preserve">1</w:t>
            </w:r>
            <w:r w:rsidR="00000000" w:rsidRPr="00000000" w:rsidDel="00000000">
              <w:rPr>
                <w:rtl w:val="0"/>
              </w:rPr>
              <w:t xml:space="preserve"> daļu (attiecīgi labojot šādu norādi iepretim citiem Direktīvas Nr. 2019/1937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apakšsadaļas 1. tabulā precizēt Direktīvas Nr. 2019/1937 4. panta 2. punkta "a" apakšpunktu, norādot uz Direktīvas Nr. 2019/1937 4. panta 1. punkta "a" apakšpunktu. Aicinām veikt attiecīgo labojumu arī norādītā panta "b" un "c"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apakšsadaļas 1. tabulā precizēt likumprojekta vienību, kas pārņem Direktīvas Nr. 2019/1937 2. panta 1. punkta "b" apakšpunktu, norādot uz Likuma 3. panta pirmās daļas 23. punktu, proti, svītrojot atsauci uz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 (Renāte Luīze Cietvīra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09.07.2025.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09.07.2025.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