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plānotais kopējais attiecināmais finansējums ir 1 305 000 euro (tai skaitā elastības finansējuma apjoms 205 896 euro), tai skaitā ESF+ finansējums 1 109 250 euro (tai skaitā elastības finansējuma apjoms 175 012 euro) un valsts budžeta līdzfinansējums – ne mazāk kā 195 750 euro (tai skaitā elastības finansējuma apjoms 30 884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9. punkta ievaddaļu un apakšpunktus trīs atsevišķos punktos, ņemot vērā, ka attiecīgās normas regulē trīs atsevišķus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personāla atlīdzības izmaksas, kas ir projekta īstenošanas un vadības personāla izmaksas, šo noteikumu 15. punktā noteikto darbību īstenošanai. Izmaksas ir attiecināmas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Regulā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aicinām aizstāt terminus, kur attiecināms - personāla atlīdzības izmaksas ar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17.2.9. materiāltehniskā nodrošinājuma iegādes izmaksas šo noteikumu 15.1., 15.2. un 15.4. apakšpunktā minēto atbalstāmo darbību īstenošanai, ja iegāde ir izdevīgāka nekā materiāltehniskā nodrošinājuma īres vai nomas izmaksas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noteikumu 17.2.9. apakšpunktu izteikt jaunā redakcijā, iekļaujot vārdu pamatlīdzekļi, lai ir skaidri saprotams, ka  materiāltehniskā nodrošinājuma iegādes ietvaros ir atbalstāma pamatlīdzekļu iegāde.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projekta īstenošanas laikā atbildīgā iestāde un vadošā iestāde izstrādā horizontālo vienkāršoto izmaksu metodiku kādām šo noteikumu 17.2. apakšpunktā minētajām izmaksām, tām piemēro atbildīgās iestādes un vadošās iestādes izstrādāto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20.punktu (kā piedāvātajā redakcijā), attiecīgajās vietās "un" vietā precizējot uz "vai" un dzēst vārdu "horizontālo", jo tas attiecas tikai uz vadošās iestādes metodikām.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projekta īstenošanas laikā atbildīgā iestāde vai vadošā iestāde izstrādā vienkāršoto izmaksu metodiku kādām šo noteikumu 17.2. apakšpunktā minētajām izmaksām, tām piemēro atbildīgās iestādes vai vadošās iestādes izstrādāto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informāciju par atbalstu saņēmušām šo noteikumu 3. punktā minētajām personām un reizi gadā iesniedz sadarbības iestādē apkopotus datus par ESF+ kopējiem tūlītējiem rezultāta rādītājiem atbilstoši Eiropas Parlamenta un Padomes 2021. gada 24. jūnija Regulas (ES) 2021/1057, ar ko izveido Eiropas Sociālo fondu Plus (ESF+) un atceļ Regulu (ES) Nr. 1296/2013 1. pielikumam un saskaņā ar Ministru kabineta 2023. gada 21. marta noteikumu Nr. 135 "Eiropas Savienības fondu projektu pārbaužu veikšanas kārtība 2021.–2027. gada plānošanas periodā" 1.pielikumu;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24.2.apakšpuntā norādīto atsauci uz 3.punktu ar atsauci uz šo noteikumu 5.2.1.1.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pēc projekta īstenošanas beigām nodrošina, ka šo noteikumu 17.2.6. apakšpunktā minētie materiāltehniskie līdzekļi, kas iegādāti projekta ietvaros, ir finansējuma saņēmēja īpašumā, ievērojot pamatlīdzekļu nolietojuma normas un lietošanas nosacījumus atbilstoši normatīvajiem aktiem, kas nosaka kārtību, kādā budžeta iestādes kārto grāmatvedības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24.6.apakšpunktā minēto atsauci uz 17.2.6. apakšpunktu ar atsauci uz šo noteikumu 17.2.9.apakšpunktu.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izstrādā kārtību, kā pārliecinās par interešu konflikta, krāpšanas un korupcijas risku neesamību (ievērojot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61.pantā noteikto) un izstrādā apliecinājumu par interešu konflikta neesamību, kuru paraksta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publisko iepirkumu veikšanu, lūdzam papildināt noteikumu projekta 24.9. apakšpunktu aiz skaitļa un vārda "61.pantā" ar vārdiem "un normatīvajos aktos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"Vai ir izvērtēts prasību un izmaksu samērīgums pret ieguvumiem?" pārformulēt pirmo teikumu, lai būtu skaidri uztverams tā vēstījums.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 īstenojot 4.3.5.5. pasākumu, kura mērķis ir izveidot attīstītu valsts nodrošinātā juridiskā atbalsta sistēmu, paplašinot mazāk aizsargāto personu piekļuvi tiesu sistēmai, paredzot savlaicīgu un iedzīvotājiem pieejamu juridiskā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sadaļā "Projekta uzraudzības komiteja" norādīto informāciju ar šo noteikumu projekta 26.punktu, kur Tieslietu ministrijas kā nozares ministrijas pārstāvis norādīts kā Projekta uzraudzības komitejas balsstiesīgais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10.11.2023.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10.11.2023.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Atzinumi_23-TA-1044.docx</dc:title>
</cp:coreProperties>
</file>

<file path=docProps/custom.xml><?xml version="1.0" encoding="utf-8"?>
<Properties xmlns="http://schemas.openxmlformats.org/officeDocument/2006/custom-properties" xmlns:vt="http://schemas.openxmlformats.org/officeDocument/2006/docPropsVTypes"/>
</file>