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 un koledža iesniedz Izglītības un zinātnes ministrijai informāciju par savu darbību un to publisko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atskaiti par valsts budžeta studiju finansējuma, kuru paredz valsts augstskolas un tās dibinātāja noslēgtais sadarbības un finansēšanas līgums, izlietojumu par pirmo pusgadu – līdz kārtējā gada 15. augustam, par otro pusgadu – līdz nākamā gada 15. februārim;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atskaišu iesniegšanu sasaistīt ar finansēšanas līgumiem, MK noteikumos nenosakot konkrētus datumus.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atskaiti par piešķirto valsts budžeta līdzekļu, ko paredz valsts augstskolas un tās dibinātāja noslēgtais sadarbības un finansēšanas līgums, izlietošanu līgumā noteiktajam mērķim – viena kalendārā mēneša laikā no piešķirto valsts budžeta līdzekļu izlietošanas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punktā norādīto termiņu, ņemot vērā, ka līdzekļi tiek izlietoti pastāvīgi.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iekļaujot informāciju Valsts izglītības informācijas sistēmā atbilstoši normatīvajam aktam, kas nosaka valsts izglītības informācijas sistēmas saturu, uzturēšanas, datu ievadīšanas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svītrot - Valsts izglītības informācijas sistēmas aizpildīšanu jau regulē attiecīgie MK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iekļaujot ziņas zinātniskās darbības pārskatā Nacionālās zinātniskās darbības informācijas sistēmā atbilstoši normatīvajam aktam, kas nosaka Nacionālās zinātniskās darbības informācijas sistēmas saturu, datu ievadīšanas, aktualizācijas un apstrādes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svītrot – NZDIS aizpildīšanu jau regulē attiecīgie MK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Augstskola un koledža gada pārskatu par savu darbību iepriekšējā kalendārajā gadā publisko savā tīmekļvietnē ne vēlāk kā līdz kārtējā gada 1. aprīlim.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punktā noteikto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7.3.5. pedagogiem, kas piedalās profesionālās vidējās izglītības programmu, profesionālās tālākizglītības programmu un profesionālās pilnveides izglītības programmu īstenošanā, atsevišķi norādot informāciju par pedagogiem, kas piedalās tikai minēto programmu īstenošanā, un informāciju par pedagogiem, kas piedalās minēto izglītības programmu un studiju programmu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svītrot vai pārskatīt tā saturu, ņemot vērā, ka tas augstskolām būtiski palielinās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izdevumiem personālam, tai skaitā atalgojumam (norādot, cik daudz no tā ir akadēmiskajam personālam, viespersonālam, augstskolas personālam, kas nav vēlēts, bet nodrošina studiju procesu un strādā augstskolā un koledžā, zinātniskajiem darbiniekiem, vispārējam personālam (norādot administratīvo personālu un mācību palīgpersonālu, saimniecisko un citu personālu), kā arī iekļaujot informāciju par akadēmiskā personāla vidējo darba samaksu, akadēmiskā personāla skaitu pilna darba laika ekvivalenta izteiksmē) un sociālās apdrošināšanas iemaksām, precēm un pakalpojumiem, pamatkapitāla veidošanai, stipendijām un citiem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svītrot vai pārskatīt tā saturu, ņemot vērā, ka tas augstskolām būtiski palielinās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īstenoto projektu un līgumpētījumu skaitu un finansējumu dalījumā pa zinātnes nozaru grupām un zinātnes nozarēm atbilstoši normatīvajam aktam par Latvijas zinātnes nozaru grupām, zinātnes nozarēm un apakšnozarēm;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svītrot vai pārskatīt tā saturu, ņemot vērā, ka tas augstskolām būtiski palielinās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zinātnisko publikāciju skaitu dalījumā pa zinātnes nozaru grupām un zinātnes nozarēm atbilstoši normatīvajam aktam par Latvijas zinātnes nozaru grupām, zinātnes nozarēm un apakšnozarēm;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punktu svītrot vai pārskatīt tā saturu, ņemot vērā, ka tas augstskolām būtiski palielinās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augstskola papildus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 punktā minētajam un valsts dibināta koledža papildus šo noteikumu </w:t>
            </w:r>
            <w:r w:rsidR="00000000" w:rsidRPr="00000000" w:rsidDel="00000000">
              <w:rPr>
                <w:rtl w:val="0"/>
              </w:rPr>
              <w:t xml:space="preserve">7.</w:t>
            </w:r>
            <w:r w:rsidR="00000000" w:rsidRPr="00000000" w:rsidDel="00000000">
              <w:rPr>
                <w:rtl w:val="0"/>
              </w:rPr>
              <w:t xml:space="preserve"> ​​​​​​​ un </w:t>
            </w:r>
            <w:r w:rsidR="00000000" w:rsidRPr="00000000" w:rsidDel="00000000">
              <w:rPr>
                <w:rtl w:val="0"/>
              </w:rPr>
              <w:t xml:space="preserve">9.</w:t>
            </w:r>
            <w:r w:rsidR="00000000" w:rsidRPr="00000000" w:rsidDel="00000000">
              <w:rPr>
                <w:rtl w:val="0"/>
              </w:rPr>
              <w:t xml:space="preserve"> ​​​​​​​ punktā minētajam pārskatā iekļauj datus par augstskolas vai koledžas dibinātāja uzdevumu izpildi, attīstības stratēģijas īstenošanu un finanšu ilgtspēju un akadēmiskā personāla vidējā atalgojuma līmeni, tai skaitā, norādot vidējo atalgojumu atbilstoši akadēmiskā personāla amatiem  (profesori, asociētie profesori, docenti, lektori, vadošie pētnieki, pētnieki, asistenti)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svītrot vai pārskatīt tā saturu, ņemot vērā, ka tas augstskolām būtiski palielinās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augstskola, papildus gada pārskatam, publicē savā tīmekļa vietnē iepriekšējā gada zvērināta revidenta apstiprinātu finanšu pārskatu, stipendiju nolikumu un iekšējos noteikumus, kas nosaka atlīdzības kārtību, personāla politiku un grāmatvedības kārtošanas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pārstrādāt, nedublējot Valsts kasē iesniegto informāciju, t.sk. finanšu pārskatu, kas arī ir publiski pieejams. Finanšu pārskats sastāv no liela datņu skaita; bez tam, grāmatvedības kārtošanas kārtība ir viena no gada pārskata sastāvdaļām (grāmatvedības uzskaites pamatprincipu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Augstskola un koledža gada pārskatu par 2022. gadu sagatavo un publicē līdz 2023. gada 1. novembrim.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svītrot, ņemot vērā, ka tas augstskolām būtiski palielinās administratīvo slogu. Noteiktais termiņš – 1. novembris, nav izpildāms, ņemot vērā noteikumu projekta izstrādes un saskaņošanas gaitu. Turklāt, punkta formulējums faktiski ir ar atpakaļejošu spēku – aicinām noteikumus attiecināt tikai uz nākotnē sagatavojamiem pārskatiem.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atskaiti par augstskolas stratēģiskās specializācijas īstenošanu – augstskolas stratēģiskās specializācijas īstenošanas vidusposmā un trīs mēnešu laikā pēc augstskolas attīstības stratēģijas ieviešanas perioda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svītrot, ņemot vērā, ka tas augstskolām būtiski palielinās administratīvo slogu. Bez tam – no punkta formulējuma (“par augstskolas stratēģiskās specializācijas īstenošanu”) nav skaidrs – kāda būs atskaites forma un saturs, ņemot vērā, ka augstskolas stratēģiskā specializācija faktiski ir ministrijas noteikts zinātnes nozaru grupu un izglītības tematisko jomu uzskaitījums (sk. Ministru kabineta 2022. gada 21. jūnija rīkojums Nr. 449 "Par valsts augstskolu stratēģisko specializāciju". https://likumi.lv/ta/id/333471).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06.09.2023. 23.44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06.09.2023. 23.44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Atzinumi_23-TA-350.docx</dc:title>
</cp:coreProperties>
</file>

<file path=docProps/custom.xml><?xml version="1.0" encoding="utf-8"?>
<Properties xmlns="http://schemas.openxmlformats.org/officeDocument/2006/custom-properties" xmlns:vt="http://schemas.openxmlformats.org/officeDocument/2006/docPropsVTypes"/>
</file>