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25-TA-489: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5. septembra noteikumos Nr. 510 "Eiropas Savienības kohēzijas politikas programmas 2021.–2027. gadam finanšu instrumentu kopīgie īstenošanas noteikumi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atbilstoši noteikumu projekta 6.punktam Līdzdalības fonda ietvaros pieejamais finansējums tiek samazināts 47 134 </w:t>
            </w:r>
            <w:r w:rsidR="00000000" w:rsidRPr="00000000" w:rsidDel="00000000">
              <w:rPr>
                <w:u w:val="single"/>
                <w:rtl w:val="0"/>
              </w:rPr>
              <w:t xml:space="preserve">311</w:t>
            </w:r>
            <w:r w:rsidR="00000000" w:rsidRPr="00000000" w:rsidDel="00000000">
              <w:rPr>
                <w:rtl w:val="0"/>
              </w:rPr>
              <w:t xml:space="preserve"> euro apmērā, savukārt anotācijas 2., 2.1. un 6.punktā ir norādīts samazinājums 47 134 </w:t>
            </w:r>
            <w:r w:rsidR="00000000" w:rsidRPr="00000000" w:rsidDel="00000000">
              <w:rPr>
                <w:u w:val="single"/>
                <w:rtl w:val="0"/>
              </w:rPr>
              <w:t xml:space="preserve">310</w:t>
            </w:r>
            <w:r w:rsidR="00000000" w:rsidRPr="00000000" w:rsidDel="00000000">
              <w:rPr>
                <w:rtl w:val="0"/>
              </w:rPr>
              <w:t xml:space="preserve"> euro apmērā, attiecīgi lūdzam veikt precizējumus. Vienlaikus vēršam uzmanību, ka anotācijas 3.sadaļas tabulā valsts budžeta finansējuma samazinājums ir atspoguļots 7 070 146 euro apmērā, savukārt 6.punkta pirmajā rindkopā ir sniegta informācija par valsts budžeta finansējuma samazinājumu 9 177 756 euro apmērā, attiecīgi lūdzam izvērtēt un veikt precizējumus. Turklāt norādām, ka nav saprotams kādām Ekonomikas ministrijas un Klimata un enerģētikas ministrijas programmām ir ieplānots finansējums Finanšu ministrijas budžeta apakšprogrammā 62.10.00 “Eiropas Reģionālās attīstības fonda (ERAF) avansa maksājumi un atmaksas finansējuma saņēmējiem (2021-2027), attiecīgi lūdzam skaidrot vai precizēt punktā “Cita informācija” sniegto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26.1.7. nodrošina informācijas pieejamību 10 gadus no atbalsta piešķiršanas dienas, kad gala saņēmējiem ir piešķirts individuālais atbalsts;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saskaņā ar Komercdarbības atbalsta kontroles likumā noteikto, atbalstu var piešķirt kā ad-hoc atbalstu projekta ietvaros vai atbalstu atbalsta programmas (jeb shēmas) ietvaros, lūdzam precizēt noteikumu  26.1.7. apakšpunktu un 26.2.7. apakšpunktu attiecībā uz gala saņēmējiem, piemēram, sekojošā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26.1.7. nodrošina informācijas pieejamību 10 gadus no atbalsta piešķiršanas dienas, kad gala saņēmējiem ir piešķirts ad-hoc atbalsts vai atbalsts programmas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26.2.7. noteikt fondu pārvaldniekiem pienākumu nodrošināt informācijas pieejamību 10 gadus, skaitot no dienas, kad gala saņēmējiem ir piešķirts ad-hoc atbalsts vai atbalsts programmas ietvaros, uzturot detalizētus ierakstus, kuros ir informācija un atbilstošie dokumenti, lai pārliecinātos, ka visi šo noteikumu un attiecīgās atbalsta programmas nosacījumi ir izpildīti atbilstoši EK lēmumam par sabiedrības "Altum" darbību;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Kreicberga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25-TA-489</w:t>
    </w:r>
    <w:r>
      <w:br/>
    </w:r>
    <w:r w:rsidR="00000000" w:rsidRPr="00000000" w:rsidDel="00000000">
      <w:rPr>
        <w:rtl w:val="0"/>
      </w:rPr>
      <w:t xml:space="preserve">Izdrukāts 15.07.2025. 12.13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25-TA-489</w:t>
    </w:r>
    <w:r>
      <w:br/>
    </w:r>
    <w:r w:rsidR="00000000" w:rsidRPr="00000000" w:rsidDel="00000000">
      <w:rPr>
        <w:rtl w:val="0"/>
      </w:rPr>
      <w:t xml:space="preserve">Izdrukāts 15.07.2025. 12.13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Atzinumi_25-TA-489.docx</dc:title>
</cp:coreProperties>
</file>

<file path=docProps/custom.xml><?xml version="1.0" encoding="utf-8"?>
<Properties xmlns="http://schemas.openxmlformats.org/officeDocument/2006/custom-properties" xmlns:vt="http://schemas.openxmlformats.org/officeDocument/2006/docPropsVTypes"/>
</file>