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37C4B" w14:textId="77777777" w:rsidR="00AB12DA" w:rsidRPr="009B750A" w:rsidRDefault="00AB12DA" w:rsidP="00AB12DA">
      <w:pPr>
        <w:tabs>
          <w:tab w:val="left" w:pos="3960"/>
        </w:tabs>
        <w:jc w:val="both"/>
        <w:rPr>
          <w:rFonts w:asciiTheme="majorBidi" w:hAnsiTheme="majorBidi" w:cstheme="majorBidi"/>
          <w:sz w:val="26"/>
          <w:highlight w:val="yellow"/>
          <w:lang w:val="cs-CZ"/>
        </w:rPr>
      </w:pPr>
      <w:r w:rsidRPr="009B750A">
        <w:rPr>
          <w:rFonts w:asciiTheme="majorBidi" w:hAnsiTheme="majorBidi" w:cstheme="majorBidi"/>
          <w:noProof/>
          <w:szCs w:val="24"/>
          <w:lang w:val="cs-CZ"/>
        </w:rPr>
        <w:drawing>
          <wp:inline distT="0" distB="0" distL="0" distR="0" wp14:anchorId="24AAE81C" wp14:editId="0212F944">
            <wp:extent cx="5365750" cy="2042795"/>
            <wp:effectExtent l="0" t="0" r="6350" b="0"/>
            <wp:docPr id="2" name="Picture 2" descr="A logo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text on i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5750" cy="204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4396A" w14:textId="77777777" w:rsidR="00AB12DA" w:rsidRPr="009B750A" w:rsidRDefault="00AB12DA" w:rsidP="00AB12DA">
      <w:pPr>
        <w:tabs>
          <w:tab w:val="left" w:pos="3960"/>
        </w:tabs>
        <w:spacing w:line="23" w:lineRule="atLeast"/>
        <w:jc w:val="both"/>
        <w:rPr>
          <w:rFonts w:asciiTheme="majorBidi" w:hAnsiTheme="majorBidi" w:cstheme="majorBidi"/>
          <w:sz w:val="26"/>
        </w:rPr>
      </w:pPr>
    </w:p>
    <w:p w14:paraId="553B6E20" w14:textId="77777777" w:rsidR="00AB12DA" w:rsidRPr="009B750A" w:rsidRDefault="00AB12DA" w:rsidP="00AB12DA">
      <w:pPr>
        <w:tabs>
          <w:tab w:val="left" w:pos="3960"/>
        </w:tabs>
        <w:spacing w:line="23" w:lineRule="atLeast"/>
        <w:jc w:val="center"/>
        <w:rPr>
          <w:rFonts w:asciiTheme="majorBidi" w:hAnsiTheme="majorBidi" w:cstheme="majorBidi"/>
          <w:szCs w:val="24"/>
        </w:rPr>
      </w:pPr>
      <w:r w:rsidRPr="009B750A">
        <w:rPr>
          <w:rFonts w:asciiTheme="majorBidi" w:hAnsiTheme="majorBidi" w:cstheme="majorBidi"/>
          <w:szCs w:val="24"/>
        </w:rPr>
        <w:t>Rīgā</w:t>
      </w:r>
    </w:p>
    <w:p w14:paraId="63FC9A90" w14:textId="77777777" w:rsidR="00AB12DA" w:rsidRPr="009B750A" w:rsidRDefault="00AB12DA" w:rsidP="00AB12DA">
      <w:pPr>
        <w:tabs>
          <w:tab w:val="left" w:pos="3960"/>
        </w:tabs>
        <w:spacing w:line="23" w:lineRule="atLeast"/>
        <w:jc w:val="both"/>
        <w:rPr>
          <w:rFonts w:asciiTheme="majorBidi" w:hAnsiTheme="majorBidi" w:cstheme="majorBidi"/>
          <w:szCs w:val="24"/>
          <w:highlight w:val="yellow"/>
        </w:rPr>
      </w:pPr>
    </w:p>
    <w:p w14:paraId="6CC27774" w14:textId="146A3882" w:rsidR="00AB12DA" w:rsidRPr="00605B1F" w:rsidRDefault="00D66292" w:rsidP="00575308">
      <w:pPr>
        <w:spacing w:line="276" w:lineRule="auto"/>
        <w:jc w:val="both"/>
        <w:rPr>
          <w:rFonts w:asciiTheme="majorBidi" w:hAnsiTheme="majorBidi" w:cstheme="majorBidi"/>
          <w:szCs w:val="24"/>
          <w:lang w:val="fr-FR"/>
        </w:rPr>
      </w:pPr>
      <w:r w:rsidRPr="008B54DE">
        <w:rPr>
          <w:rFonts w:asciiTheme="majorBidi" w:hAnsiTheme="majorBidi" w:cstheme="majorBidi"/>
          <w:szCs w:val="24"/>
          <w:lang w:eastAsia="ru-RU"/>
        </w:rPr>
        <w:t>0</w:t>
      </w:r>
      <w:r w:rsidR="00F8552B">
        <w:rPr>
          <w:rFonts w:asciiTheme="majorBidi" w:hAnsiTheme="majorBidi" w:cstheme="majorBidi"/>
          <w:szCs w:val="24"/>
          <w:lang w:eastAsia="ru-RU"/>
        </w:rPr>
        <w:t>7</w:t>
      </w:r>
      <w:r w:rsidRPr="008B54DE">
        <w:rPr>
          <w:rFonts w:asciiTheme="majorBidi" w:hAnsiTheme="majorBidi" w:cstheme="majorBidi"/>
          <w:szCs w:val="24"/>
          <w:lang w:eastAsia="ru-RU"/>
        </w:rPr>
        <w:t>.03</w:t>
      </w:r>
      <w:r w:rsidR="00AB12DA" w:rsidRPr="008B54DE">
        <w:rPr>
          <w:rFonts w:asciiTheme="majorBidi" w:hAnsiTheme="majorBidi" w:cstheme="majorBidi"/>
          <w:szCs w:val="24"/>
          <w:lang w:eastAsia="ru-RU"/>
        </w:rPr>
        <w:t>.</w:t>
      </w:r>
      <w:r w:rsidR="00AB12DA" w:rsidRPr="009B750A">
        <w:rPr>
          <w:rFonts w:asciiTheme="majorBidi" w:hAnsiTheme="majorBidi" w:cstheme="majorBidi"/>
          <w:szCs w:val="24"/>
          <w:lang w:eastAsia="ru-RU"/>
        </w:rPr>
        <w:t>202</w:t>
      </w:r>
      <w:r w:rsidR="003742B3">
        <w:rPr>
          <w:rFonts w:asciiTheme="majorBidi" w:hAnsiTheme="majorBidi" w:cstheme="majorBidi"/>
          <w:szCs w:val="24"/>
          <w:lang w:eastAsia="ru-RU"/>
        </w:rPr>
        <w:t>5</w:t>
      </w:r>
      <w:r w:rsidR="00AB12DA" w:rsidRPr="009B750A">
        <w:rPr>
          <w:rFonts w:asciiTheme="majorBidi" w:hAnsiTheme="majorBidi" w:cstheme="majorBidi"/>
          <w:szCs w:val="24"/>
          <w:lang w:eastAsia="ru-RU"/>
        </w:rPr>
        <w:t>.</w:t>
      </w:r>
      <w:r w:rsidR="00AB12DA" w:rsidRPr="009B750A">
        <w:rPr>
          <w:rFonts w:asciiTheme="majorBidi" w:hAnsiTheme="majorBidi" w:cstheme="majorBidi"/>
          <w:szCs w:val="24"/>
        </w:rPr>
        <w:t> Nr. </w:t>
      </w:r>
      <w:r w:rsidR="00575308" w:rsidRPr="00575308">
        <w:rPr>
          <w:rFonts w:asciiTheme="majorBidi" w:hAnsiTheme="majorBidi" w:cstheme="majorBidi"/>
          <w:szCs w:val="24"/>
          <w:lang w:val="fr-FR"/>
        </w:rPr>
        <w:t>10-1/6-291nos</w:t>
      </w:r>
    </w:p>
    <w:p w14:paraId="33127A91" w14:textId="4D07F182" w:rsidR="00AB12DA" w:rsidRPr="009B750A" w:rsidRDefault="00AB12DA" w:rsidP="00D63FBF">
      <w:pPr>
        <w:spacing w:line="276" w:lineRule="auto"/>
        <w:jc w:val="both"/>
        <w:rPr>
          <w:rFonts w:asciiTheme="majorBidi" w:hAnsiTheme="majorBidi" w:cstheme="majorBidi"/>
          <w:szCs w:val="24"/>
        </w:rPr>
      </w:pPr>
      <w:r w:rsidRPr="009B750A">
        <w:rPr>
          <w:rFonts w:asciiTheme="majorBidi" w:hAnsiTheme="majorBidi" w:cstheme="majorBidi"/>
          <w:szCs w:val="24"/>
        </w:rPr>
        <w:t xml:space="preserve">Uz </w:t>
      </w:r>
      <w:r w:rsidR="00F84547">
        <w:t>0</w:t>
      </w:r>
      <w:r w:rsidR="00F8552B">
        <w:t>3</w:t>
      </w:r>
      <w:r w:rsidR="00F84547">
        <w:t>.0</w:t>
      </w:r>
      <w:r w:rsidR="00F8552B">
        <w:t>3</w:t>
      </w:r>
      <w:r w:rsidR="00F84547">
        <w:t>.2025</w:t>
      </w:r>
      <w:r w:rsidRPr="009B750A">
        <w:rPr>
          <w:rFonts w:asciiTheme="majorBidi" w:hAnsiTheme="majorBidi" w:cstheme="majorBidi"/>
          <w:szCs w:val="24"/>
        </w:rPr>
        <w:t>. </w:t>
      </w:r>
    </w:p>
    <w:p w14:paraId="66F4E35E" w14:textId="78D00D33" w:rsidR="00AB12DA" w:rsidRPr="009B750A" w:rsidRDefault="00F8552B" w:rsidP="00D63FBF">
      <w:pPr>
        <w:tabs>
          <w:tab w:val="left" w:pos="3960"/>
        </w:tabs>
        <w:spacing w:line="276" w:lineRule="auto"/>
        <w:jc w:val="right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Ārlietu ministrijai</w:t>
      </w:r>
    </w:p>
    <w:p w14:paraId="5BC36D0E" w14:textId="77777777" w:rsidR="00AB12DA" w:rsidRPr="009B750A" w:rsidRDefault="00AB12DA" w:rsidP="00D63FBF">
      <w:pPr>
        <w:spacing w:line="276" w:lineRule="auto"/>
        <w:jc w:val="right"/>
        <w:rPr>
          <w:rFonts w:asciiTheme="majorBidi" w:hAnsiTheme="majorBidi" w:cstheme="majorBidi"/>
          <w:szCs w:val="24"/>
          <w:lang w:val="cs-CZ"/>
        </w:rPr>
      </w:pPr>
      <w:r w:rsidRPr="009B750A">
        <w:rPr>
          <w:rFonts w:asciiTheme="majorBidi" w:hAnsiTheme="majorBidi" w:cstheme="majorBidi"/>
          <w:szCs w:val="24"/>
        </w:rPr>
        <w:t xml:space="preserve">Nosūtīts e-adresē </w:t>
      </w:r>
    </w:p>
    <w:p w14:paraId="733B9F1B" w14:textId="77777777" w:rsidR="00AB12DA" w:rsidRPr="009B750A" w:rsidRDefault="00AB12DA" w:rsidP="00D63FBF">
      <w:pPr>
        <w:spacing w:line="276" w:lineRule="auto"/>
        <w:rPr>
          <w:rFonts w:asciiTheme="majorBidi" w:hAnsiTheme="majorBidi" w:cstheme="majorBidi"/>
          <w:szCs w:val="24"/>
        </w:rPr>
      </w:pPr>
    </w:p>
    <w:p w14:paraId="1D5B8D8F" w14:textId="77777777" w:rsidR="00D63FBF" w:rsidRDefault="00F8552B" w:rsidP="00D63FBF">
      <w:pPr>
        <w:spacing w:line="276" w:lineRule="auto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 xml:space="preserve">Atzinums par likumprojektu </w:t>
      </w:r>
    </w:p>
    <w:p w14:paraId="631B22F3" w14:textId="680C9DB0" w:rsidR="00D63FBF" w:rsidRDefault="00F8552B" w:rsidP="00D63FBF">
      <w:pPr>
        <w:spacing w:line="276" w:lineRule="auto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 xml:space="preserve">„Par Cilvēka tiesību un pamatbrīvību </w:t>
      </w:r>
      <w:r w:rsidR="00D63FBF">
        <w:rPr>
          <w:rFonts w:asciiTheme="majorBidi" w:hAnsiTheme="majorBidi" w:cstheme="majorBidi"/>
          <w:szCs w:val="24"/>
        </w:rPr>
        <w:t xml:space="preserve">aizsardzības </w:t>
      </w:r>
      <w:r>
        <w:rPr>
          <w:rFonts w:asciiTheme="majorBidi" w:hAnsiTheme="majorBidi" w:cstheme="majorBidi"/>
          <w:szCs w:val="24"/>
        </w:rPr>
        <w:t xml:space="preserve">konvencijas 16. protokolu” </w:t>
      </w:r>
    </w:p>
    <w:p w14:paraId="5153B3A9" w14:textId="5C5279E5" w:rsidR="00AB12DA" w:rsidRPr="009B750A" w:rsidRDefault="00F8552B" w:rsidP="00D63FBF">
      <w:pPr>
        <w:spacing w:line="276" w:lineRule="auto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(24-TA-1954)</w:t>
      </w:r>
    </w:p>
    <w:p w14:paraId="1320471E" w14:textId="77777777" w:rsidR="00AB12DA" w:rsidRPr="009B750A" w:rsidRDefault="00AB12DA" w:rsidP="00D63FBF">
      <w:pPr>
        <w:spacing w:line="276" w:lineRule="auto"/>
        <w:jc w:val="both"/>
        <w:rPr>
          <w:rFonts w:asciiTheme="majorBidi" w:hAnsiTheme="majorBidi" w:cstheme="majorBidi"/>
          <w:szCs w:val="24"/>
        </w:rPr>
      </w:pPr>
    </w:p>
    <w:p w14:paraId="52C2186E" w14:textId="00DBEA6D" w:rsidR="00AB12DA" w:rsidRPr="00D63FBF" w:rsidRDefault="00AB12DA" w:rsidP="00D63FBF">
      <w:pPr>
        <w:spacing w:line="276" w:lineRule="auto"/>
        <w:ind w:firstLine="720"/>
        <w:jc w:val="both"/>
        <w:rPr>
          <w:rFonts w:asciiTheme="majorBidi" w:hAnsiTheme="majorBidi" w:cstheme="majorBidi"/>
          <w:szCs w:val="24"/>
        </w:rPr>
      </w:pPr>
      <w:r w:rsidRPr="009B750A">
        <w:rPr>
          <w:rFonts w:asciiTheme="majorBidi" w:hAnsiTheme="majorBidi" w:cstheme="majorBidi"/>
          <w:szCs w:val="24"/>
        </w:rPr>
        <w:t>Augstākajā tiesā saņemts 202</w:t>
      </w:r>
      <w:r w:rsidR="003742B3">
        <w:rPr>
          <w:rFonts w:asciiTheme="majorBidi" w:hAnsiTheme="majorBidi" w:cstheme="majorBidi"/>
          <w:szCs w:val="24"/>
        </w:rPr>
        <w:t>5</w:t>
      </w:r>
      <w:r w:rsidRPr="009B750A">
        <w:rPr>
          <w:rFonts w:asciiTheme="majorBidi" w:hAnsiTheme="majorBidi" w:cstheme="majorBidi"/>
          <w:szCs w:val="24"/>
        </w:rPr>
        <w:t>.</w:t>
      </w:r>
      <w:r w:rsidR="00333C5C">
        <w:rPr>
          <w:rFonts w:asciiTheme="majorBidi" w:hAnsiTheme="majorBidi" w:cstheme="majorBidi"/>
          <w:szCs w:val="24"/>
        </w:rPr>
        <w:t> </w:t>
      </w:r>
      <w:r w:rsidRPr="009B750A">
        <w:rPr>
          <w:rFonts w:asciiTheme="majorBidi" w:hAnsiTheme="majorBidi" w:cstheme="majorBidi"/>
          <w:szCs w:val="24"/>
        </w:rPr>
        <w:t xml:space="preserve">gada </w:t>
      </w:r>
      <w:r w:rsidR="00F8552B">
        <w:rPr>
          <w:rFonts w:asciiTheme="majorBidi" w:hAnsiTheme="majorBidi" w:cstheme="majorBidi"/>
          <w:szCs w:val="24"/>
        </w:rPr>
        <w:t>3</w:t>
      </w:r>
      <w:r w:rsidR="003742B3">
        <w:rPr>
          <w:rFonts w:asciiTheme="majorBidi" w:hAnsiTheme="majorBidi" w:cstheme="majorBidi"/>
          <w:szCs w:val="24"/>
        </w:rPr>
        <w:t>.</w:t>
      </w:r>
      <w:r w:rsidR="00D66292">
        <w:rPr>
          <w:rFonts w:asciiTheme="majorBidi" w:hAnsiTheme="majorBidi" w:cstheme="majorBidi"/>
          <w:szCs w:val="24"/>
        </w:rPr>
        <w:t> </w:t>
      </w:r>
      <w:r w:rsidR="00F8552B">
        <w:rPr>
          <w:rFonts w:asciiTheme="majorBidi" w:hAnsiTheme="majorBidi" w:cstheme="majorBidi"/>
          <w:szCs w:val="24"/>
        </w:rPr>
        <w:t xml:space="preserve">marta lūgums sniegt atzinumu par Latvijas pievienošanos Cilvēka tiesību un pamatbrīvību </w:t>
      </w:r>
      <w:r w:rsidR="00D63FBF">
        <w:rPr>
          <w:rFonts w:asciiTheme="majorBidi" w:hAnsiTheme="majorBidi" w:cstheme="majorBidi"/>
          <w:szCs w:val="24"/>
        </w:rPr>
        <w:t xml:space="preserve">aizsardzības </w:t>
      </w:r>
      <w:r w:rsidR="00F8552B">
        <w:rPr>
          <w:rFonts w:asciiTheme="majorBidi" w:hAnsiTheme="majorBidi" w:cstheme="majorBidi"/>
          <w:szCs w:val="24"/>
        </w:rPr>
        <w:t>konvencijas 16. protokolam.</w:t>
      </w:r>
      <w:r w:rsidRPr="009B750A">
        <w:rPr>
          <w:rFonts w:asciiTheme="majorBidi" w:hAnsiTheme="majorBidi" w:cstheme="majorBidi"/>
          <w:szCs w:val="24"/>
        </w:rPr>
        <w:t xml:space="preserve"> </w:t>
      </w:r>
      <w:r w:rsidR="003742B3" w:rsidRPr="00D63FBF">
        <w:rPr>
          <w:rFonts w:asciiTheme="majorBidi" w:hAnsiTheme="majorBidi" w:cstheme="majorBidi"/>
          <w:szCs w:val="24"/>
        </w:rPr>
        <w:t>A</w:t>
      </w:r>
      <w:r w:rsidRPr="00D63FBF">
        <w:rPr>
          <w:rFonts w:asciiTheme="majorBidi" w:hAnsiTheme="majorBidi" w:cstheme="majorBidi"/>
          <w:szCs w:val="24"/>
        </w:rPr>
        <w:t>r Augstākās tiesas priekšsēdētāja rezolūciju atbildi uzdots sniegt Augstākās tiesas Judikatūras un zinātniski analītiskās nodaļas vadītājai A. Zikmanei.</w:t>
      </w:r>
    </w:p>
    <w:p w14:paraId="25889450" w14:textId="77777777" w:rsidR="00AB12DA" w:rsidRPr="00D63FBF" w:rsidRDefault="00AB12DA" w:rsidP="00D63FBF">
      <w:pPr>
        <w:spacing w:line="276" w:lineRule="auto"/>
        <w:ind w:firstLine="720"/>
        <w:jc w:val="both"/>
        <w:rPr>
          <w:rFonts w:asciiTheme="majorBidi" w:hAnsiTheme="majorBidi" w:cstheme="majorBidi"/>
          <w:szCs w:val="24"/>
        </w:rPr>
      </w:pPr>
    </w:p>
    <w:p w14:paraId="1565A488" w14:textId="487CD94A" w:rsidR="00F8552B" w:rsidRPr="00D63FBF" w:rsidRDefault="00F8552B" w:rsidP="00D63FBF">
      <w:pPr>
        <w:spacing w:line="276" w:lineRule="auto"/>
        <w:ind w:firstLine="720"/>
        <w:jc w:val="both"/>
        <w:rPr>
          <w:rFonts w:asciiTheme="majorBidi" w:hAnsiTheme="majorBidi" w:cstheme="majorBidi"/>
          <w:szCs w:val="24"/>
        </w:rPr>
      </w:pPr>
      <w:r w:rsidRPr="00D63FBF">
        <w:rPr>
          <w:rFonts w:asciiTheme="majorBidi" w:hAnsiTheme="majorBidi" w:cstheme="majorBidi"/>
          <w:szCs w:val="24"/>
        </w:rPr>
        <w:t xml:space="preserve">Augstākā tiesa atbalsta izstrādāto likumprojektu, vienlaikus izsakot iebildumu. </w:t>
      </w:r>
    </w:p>
    <w:p w14:paraId="25617EBC" w14:textId="0AC6E413" w:rsidR="00D63FBF" w:rsidRPr="00D63FBF" w:rsidRDefault="00F8552B" w:rsidP="00D63FBF">
      <w:pPr>
        <w:spacing w:line="276" w:lineRule="auto"/>
        <w:ind w:firstLine="720"/>
        <w:jc w:val="both"/>
        <w:rPr>
          <w:rFonts w:asciiTheme="majorBidi" w:hAnsiTheme="majorBidi" w:cstheme="majorBidi"/>
          <w:szCs w:val="24"/>
        </w:rPr>
      </w:pPr>
      <w:r w:rsidRPr="00D63FBF">
        <w:rPr>
          <w:rFonts w:asciiTheme="majorBidi" w:hAnsiTheme="majorBidi" w:cstheme="majorBidi"/>
          <w:szCs w:val="24"/>
        </w:rPr>
        <w:t>Likum</w:t>
      </w:r>
      <w:r w:rsidR="00D63FBF">
        <w:rPr>
          <w:rFonts w:asciiTheme="majorBidi" w:hAnsiTheme="majorBidi" w:cstheme="majorBidi"/>
          <w:szCs w:val="24"/>
        </w:rPr>
        <w:t>a</w:t>
      </w:r>
      <w:r w:rsidRPr="00D63FBF">
        <w:rPr>
          <w:rFonts w:asciiTheme="majorBidi" w:hAnsiTheme="majorBidi" w:cstheme="majorBidi"/>
          <w:szCs w:val="24"/>
        </w:rPr>
        <w:t xml:space="preserve"> „Par tiesu varu” 44. pantā norādīts, ka kasācijas instance ir Senāts</w:t>
      </w:r>
      <w:r w:rsidR="00D63FBF" w:rsidRPr="00D63FBF">
        <w:rPr>
          <w:rFonts w:asciiTheme="majorBidi" w:hAnsiTheme="majorBidi" w:cstheme="majorBidi"/>
          <w:szCs w:val="24"/>
        </w:rPr>
        <w:t>, kam atbilstoši arī tiek noformēti Senāta nolēmumi</w:t>
      </w:r>
      <w:r w:rsidRPr="00D63FBF">
        <w:rPr>
          <w:rFonts w:asciiTheme="majorBidi" w:hAnsiTheme="majorBidi" w:cstheme="majorBidi"/>
          <w:szCs w:val="24"/>
        </w:rPr>
        <w:t xml:space="preserve">. </w:t>
      </w:r>
    </w:p>
    <w:p w14:paraId="5C886F8C" w14:textId="5EB676CF" w:rsidR="002552AB" w:rsidRPr="00D63FBF" w:rsidRDefault="00F8552B" w:rsidP="00D63FBF">
      <w:pPr>
        <w:spacing w:line="276" w:lineRule="auto"/>
        <w:ind w:firstLine="720"/>
        <w:jc w:val="both"/>
        <w:rPr>
          <w:rFonts w:asciiTheme="majorBidi" w:hAnsiTheme="majorBidi" w:cstheme="majorBidi"/>
          <w:szCs w:val="24"/>
        </w:rPr>
      </w:pPr>
      <w:r w:rsidRPr="00D63FBF">
        <w:rPr>
          <w:rFonts w:asciiTheme="majorBidi" w:hAnsiTheme="majorBidi" w:cstheme="majorBidi"/>
          <w:szCs w:val="24"/>
        </w:rPr>
        <w:t xml:space="preserve">Lai dialogā ar Eiropas Cilvēktiesību tiesu </w:t>
      </w:r>
      <w:r w:rsidR="00D63FBF" w:rsidRPr="00D63FBF">
        <w:rPr>
          <w:rFonts w:asciiTheme="majorBidi" w:hAnsiTheme="majorBidi" w:cstheme="majorBidi"/>
          <w:szCs w:val="24"/>
        </w:rPr>
        <w:t>izvairītos no pārpratumiem</w:t>
      </w:r>
      <w:r w:rsidRPr="00D63FBF">
        <w:rPr>
          <w:rFonts w:asciiTheme="majorBidi" w:hAnsiTheme="majorBidi" w:cstheme="majorBidi"/>
          <w:szCs w:val="24"/>
        </w:rPr>
        <w:t xml:space="preserve">, </w:t>
      </w:r>
      <w:r w:rsidR="002552AB" w:rsidRPr="00D63FBF">
        <w:rPr>
          <w:rFonts w:asciiTheme="majorBidi" w:hAnsiTheme="majorBidi" w:cstheme="majorBidi"/>
          <w:szCs w:val="24"/>
        </w:rPr>
        <w:t xml:space="preserve">uzskatām, ka atbilstoši būtu izteikt </w:t>
      </w:r>
      <w:r w:rsidR="00D63FBF" w:rsidRPr="00D63FBF">
        <w:rPr>
          <w:rFonts w:asciiTheme="majorBidi" w:hAnsiTheme="majorBidi" w:cstheme="majorBidi"/>
          <w:szCs w:val="24"/>
        </w:rPr>
        <w:t xml:space="preserve">likumprojekta 3. panta pirmās daļas </w:t>
      </w:r>
      <w:r w:rsidR="002552AB" w:rsidRPr="00D63FBF">
        <w:rPr>
          <w:rFonts w:asciiTheme="majorBidi" w:hAnsiTheme="majorBidi" w:cstheme="majorBidi"/>
          <w:szCs w:val="24"/>
        </w:rPr>
        <w:t xml:space="preserve">2.punktu </w:t>
      </w:r>
      <w:r w:rsidR="00D63FBF" w:rsidRPr="00D63FBF">
        <w:rPr>
          <w:rFonts w:asciiTheme="majorBidi" w:hAnsiTheme="majorBidi" w:cstheme="majorBidi"/>
          <w:szCs w:val="24"/>
        </w:rPr>
        <w:t>šādā redakcijā: „</w:t>
      </w:r>
      <w:r w:rsidR="002552AB" w:rsidRPr="00D63FBF">
        <w:rPr>
          <w:rFonts w:asciiTheme="majorBidi" w:hAnsiTheme="majorBidi" w:cstheme="majorBidi"/>
          <w:szCs w:val="24"/>
        </w:rPr>
        <w:t>Augstākā tiesa (Senāts)</w:t>
      </w:r>
      <w:r w:rsidR="00D63FBF" w:rsidRPr="00D63FBF">
        <w:rPr>
          <w:rFonts w:asciiTheme="majorBidi" w:hAnsiTheme="majorBidi" w:cstheme="majorBidi"/>
          <w:szCs w:val="24"/>
        </w:rPr>
        <w:t>”</w:t>
      </w:r>
      <w:r w:rsidR="002552AB" w:rsidRPr="00D63FBF">
        <w:rPr>
          <w:rFonts w:asciiTheme="majorBidi" w:hAnsiTheme="majorBidi" w:cstheme="majorBidi"/>
          <w:szCs w:val="24"/>
        </w:rPr>
        <w:t xml:space="preserve">. </w:t>
      </w:r>
    </w:p>
    <w:p w14:paraId="000EE0DB" w14:textId="4B3F756B" w:rsidR="00F8552B" w:rsidRPr="00D63FBF" w:rsidRDefault="002552AB" w:rsidP="00D63FBF">
      <w:pPr>
        <w:spacing w:line="276" w:lineRule="auto"/>
        <w:ind w:firstLine="720"/>
        <w:jc w:val="both"/>
        <w:rPr>
          <w:rFonts w:asciiTheme="majorBidi" w:hAnsiTheme="majorBidi" w:cstheme="majorBidi"/>
          <w:szCs w:val="24"/>
        </w:rPr>
      </w:pPr>
      <w:r w:rsidRPr="00D63FBF">
        <w:rPr>
          <w:rFonts w:asciiTheme="majorBidi" w:hAnsiTheme="majorBidi" w:cstheme="majorBidi"/>
          <w:szCs w:val="24"/>
        </w:rPr>
        <w:t xml:space="preserve"> </w:t>
      </w:r>
    </w:p>
    <w:p w14:paraId="03AE89D2" w14:textId="77777777" w:rsidR="00AB12DA" w:rsidRPr="00D63FBF" w:rsidRDefault="00AB12DA" w:rsidP="00D63FBF">
      <w:pPr>
        <w:spacing w:line="276" w:lineRule="auto"/>
        <w:jc w:val="both"/>
        <w:rPr>
          <w:rFonts w:asciiTheme="majorBidi" w:hAnsiTheme="majorBidi" w:cstheme="majorBidi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48"/>
        <w:gridCol w:w="4256"/>
      </w:tblGrid>
      <w:tr w:rsidR="00AB12DA" w:rsidRPr="00D63FBF" w14:paraId="62084BE1" w14:textId="77777777" w:rsidTr="00716177">
        <w:tc>
          <w:tcPr>
            <w:tcW w:w="4534" w:type="dxa"/>
            <w:hideMark/>
          </w:tcPr>
          <w:p w14:paraId="59E9FF13" w14:textId="77777777" w:rsidR="00AB12DA" w:rsidRPr="00D63FBF" w:rsidRDefault="00AB12DA" w:rsidP="00D63FBF">
            <w:pPr>
              <w:spacing w:line="276" w:lineRule="auto"/>
              <w:jc w:val="both"/>
              <w:rPr>
                <w:rFonts w:asciiTheme="majorBidi" w:hAnsiTheme="majorBidi" w:cstheme="majorBidi"/>
                <w:szCs w:val="24"/>
                <w:lang w:eastAsia="ru-RU"/>
              </w:rPr>
            </w:pPr>
            <w:r w:rsidRPr="00D63FBF">
              <w:rPr>
                <w:rFonts w:asciiTheme="majorBidi" w:hAnsiTheme="majorBidi" w:cstheme="majorBidi"/>
                <w:szCs w:val="24"/>
                <w:lang w:eastAsia="ru-RU"/>
              </w:rPr>
              <w:t xml:space="preserve">Nodaļas vadītāja </w:t>
            </w:r>
          </w:p>
        </w:tc>
        <w:tc>
          <w:tcPr>
            <w:tcW w:w="4537" w:type="dxa"/>
            <w:hideMark/>
          </w:tcPr>
          <w:p w14:paraId="00EB682E" w14:textId="77777777" w:rsidR="00AB12DA" w:rsidRPr="00D63FBF" w:rsidRDefault="00AB12DA" w:rsidP="00D63FBF">
            <w:pPr>
              <w:spacing w:line="276" w:lineRule="auto"/>
              <w:jc w:val="right"/>
              <w:rPr>
                <w:rFonts w:asciiTheme="majorBidi" w:hAnsiTheme="majorBidi" w:cstheme="majorBidi"/>
                <w:szCs w:val="24"/>
                <w:lang w:eastAsia="ru-RU"/>
              </w:rPr>
            </w:pPr>
            <w:r w:rsidRPr="00D63FBF">
              <w:rPr>
                <w:rFonts w:asciiTheme="majorBidi" w:hAnsiTheme="majorBidi" w:cstheme="majorBidi"/>
                <w:szCs w:val="24"/>
                <w:lang w:eastAsia="ru-RU"/>
              </w:rPr>
              <w:t>Anita Zikmane</w:t>
            </w:r>
          </w:p>
        </w:tc>
      </w:tr>
    </w:tbl>
    <w:p w14:paraId="7353E628" w14:textId="77777777" w:rsidR="00AB12DA" w:rsidRPr="00D63FBF" w:rsidRDefault="00AB12DA" w:rsidP="00D63FBF">
      <w:pPr>
        <w:tabs>
          <w:tab w:val="left" w:pos="7200"/>
        </w:tabs>
        <w:spacing w:line="276" w:lineRule="auto"/>
        <w:rPr>
          <w:rFonts w:asciiTheme="majorBidi" w:hAnsiTheme="majorBidi" w:cstheme="majorBidi"/>
          <w:szCs w:val="24"/>
        </w:rPr>
      </w:pPr>
    </w:p>
    <w:p w14:paraId="74B175A7" w14:textId="77777777" w:rsidR="00AB12DA" w:rsidRPr="00D63FBF" w:rsidRDefault="00AB12DA" w:rsidP="00D63FBF">
      <w:pPr>
        <w:tabs>
          <w:tab w:val="left" w:pos="7200"/>
        </w:tabs>
        <w:spacing w:line="276" w:lineRule="auto"/>
        <w:rPr>
          <w:rFonts w:asciiTheme="majorBidi" w:hAnsiTheme="majorBidi" w:cstheme="majorBidi"/>
          <w:szCs w:val="24"/>
        </w:rPr>
      </w:pPr>
      <w:r w:rsidRPr="00D63FBF">
        <w:rPr>
          <w:rFonts w:asciiTheme="majorBidi" w:hAnsiTheme="majorBidi" w:cstheme="majorBidi"/>
          <w:szCs w:val="24"/>
        </w:rPr>
        <w:t>Šis dokuments ir parakstīts ar drošu elektronisko parakstu un satur laika zīmogu.</w:t>
      </w:r>
    </w:p>
    <w:p w14:paraId="56FB81E0" w14:textId="77777777" w:rsidR="00AB12DA" w:rsidRPr="00D63FBF" w:rsidRDefault="00AB12DA" w:rsidP="00D63FBF">
      <w:pPr>
        <w:tabs>
          <w:tab w:val="left" w:pos="7200"/>
        </w:tabs>
        <w:spacing w:line="276" w:lineRule="auto"/>
        <w:jc w:val="both"/>
        <w:rPr>
          <w:rFonts w:asciiTheme="majorBidi" w:hAnsiTheme="majorBidi" w:cstheme="majorBidi"/>
          <w:szCs w:val="24"/>
        </w:rPr>
      </w:pPr>
    </w:p>
    <w:p w14:paraId="09B2521C" w14:textId="77777777" w:rsidR="00AB12DA" w:rsidRPr="009B750A" w:rsidRDefault="00AB12DA" w:rsidP="00AB12DA">
      <w:pPr>
        <w:tabs>
          <w:tab w:val="left" w:pos="7200"/>
        </w:tabs>
        <w:jc w:val="both"/>
        <w:rPr>
          <w:rFonts w:asciiTheme="majorBidi" w:hAnsiTheme="majorBidi" w:cstheme="majorBidi"/>
          <w:sz w:val="20"/>
        </w:rPr>
      </w:pPr>
    </w:p>
    <w:p w14:paraId="1904A696" w14:textId="77777777" w:rsidR="00AB12DA" w:rsidRPr="009B750A" w:rsidRDefault="00AB12DA" w:rsidP="00AB12DA">
      <w:pPr>
        <w:tabs>
          <w:tab w:val="left" w:pos="7200"/>
        </w:tabs>
        <w:jc w:val="both"/>
        <w:rPr>
          <w:rFonts w:asciiTheme="majorBidi" w:hAnsiTheme="majorBidi" w:cstheme="majorBidi"/>
          <w:sz w:val="20"/>
        </w:rPr>
      </w:pPr>
      <w:r w:rsidRPr="009B750A">
        <w:rPr>
          <w:rFonts w:asciiTheme="majorBidi" w:hAnsiTheme="majorBidi" w:cstheme="majorBidi"/>
          <w:sz w:val="20"/>
        </w:rPr>
        <w:t xml:space="preserve">67020315, </w:t>
      </w:r>
      <w:hyperlink r:id="rId6" w:history="1">
        <w:r w:rsidRPr="009B750A">
          <w:rPr>
            <w:rStyle w:val="Hyperlink"/>
            <w:rFonts w:asciiTheme="majorBidi" w:eastAsiaTheme="majorEastAsia" w:hAnsiTheme="majorBidi" w:cstheme="majorBidi"/>
            <w:sz w:val="20"/>
          </w:rPr>
          <w:t>anita.zikmane@at.gov.lv</w:t>
        </w:r>
      </w:hyperlink>
      <w:r w:rsidRPr="009B750A">
        <w:rPr>
          <w:rFonts w:asciiTheme="majorBidi" w:hAnsiTheme="majorBidi" w:cstheme="majorBidi"/>
          <w:sz w:val="20"/>
        </w:rPr>
        <w:t xml:space="preserve"> </w:t>
      </w:r>
    </w:p>
    <w:p w14:paraId="482EDA28" w14:textId="77777777" w:rsidR="00AB12DA" w:rsidRPr="009B750A" w:rsidRDefault="00AB12DA" w:rsidP="00AB12DA">
      <w:pPr>
        <w:rPr>
          <w:rFonts w:asciiTheme="majorBidi" w:hAnsiTheme="majorBidi" w:cstheme="majorBidi"/>
        </w:rPr>
      </w:pPr>
    </w:p>
    <w:p w14:paraId="4873FC82" w14:textId="77777777" w:rsidR="00AB12DA" w:rsidRPr="009B750A" w:rsidRDefault="00AB12DA" w:rsidP="00AB12DA">
      <w:pPr>
        <w:rPr>
          <w:rFonts w:asciiTheme="majorBidi" w:hAnsiTheme="majorBidi" w:cstheme="majorBidi"/>
        </w:rPr>
      </w:pPr>
    </w:p>
    <w:p w14:paraId="2039644A" w14:textId="77777777" w:rsidR="00767655" w:rsidRPr="009B750A" w:rsidRDefault="00767655">
      <w:pPr>
        <w:rPr>
          <w:rFonts w:asciiTheme="majorBidi" w:hAnsiTheme="majorBidi" w:cstheme="majorBidi"/>
        </w:rPr>
      </w:pPr>
    </w:p>
    <w:sectPr w:rsidR="00767655" w:rsidRPr="009B750A" w:rsidSect="00AB12DA">
      <w:pgSz w:w="11906" w:h="16838" w:code="9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1AEC"/>
    <w:multiLevelType w:val="hybridMultilevel"/>
    <w:tmpl w:val="7C3206B4"/>
    <w:lvl w:ilvl="0" w:tplc="47666BDE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90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2DA"/>
    <w:rsid w:val="000333AF"/>
    <w:rsid w:val="00047AB6"/>
    <w:rsid w:val="000572C4"/>
    <w:rsid w:val="00083639"/>
    <w:rsid w:val="001A1017"/>
    <w:rsid w:val="00221194"/>
    <w:rsid w:val="002552AB"/>
    <w:rsid w:val="0026000C"/>
    <w:rsid w:val="002758AD"/>
    <w:rsid w:val="0029477B"/>
    <w:rsid w:val="002F39E4"/>
    <w:rsid w:val="00333C5C"/>
    <w:rsid w:val="003377B3"/>
    <w:rsid w:val="0036292D"/>
    <w:rsid w:val="003742B3"/>
    <w:rsid w:val="004009DF"/>
    <w:rsid w:val="00451C3A"/>
    <w:rsid w:val="0046031C"/>
    <w:rsid w:val="004D77B3"/>
    <w:rsid w:val="00514E9A"/>
    <w:rsid w:val="00564F74"/>
    <w:rsid w:val="00575308"/>
    <w:rsid w:val="00591823"/>
    <w:rsid w:val="00605B1F"/>
    <w:rsid w:val="00690EAA"/>
    <w:rsid w:val="006E0CFC"/>
    <w:rsid w:val="006E1ED3"/>
    <w:rsid w:val="007163BF"/>
    <w:rsid w:val="00743040"/>
    <w:rsid w:val="00767655"/>
    <w:rsid w:val="00785139"/>
    <w:rsid w:val="00865CAE"/>
    <w:rsid w:val="00866418"/>
    <w:rsid w:val="0087543C"/>
    <w:rsid w:val="008B4F85"/>
    <w:rsid w:val="008B54DE"/>
    <w:rsid w:val="008D0EE1"/>
    <w:rsid w:val="00930E6C"/>
    <w:rsid w:val="00931B4B"/>
    <w:rsid w:val="00981FAA"/>
    <w:rsid w:val="009B750A"/>
    <w:rsid w:val="009D1F2B"/>
    <w:rsid w:val="00A2465B"/>
    <w:rsid w:val="00A273EF"/>
    <w:rsid w:val="00A41CB1"/>
    <w:rsid w:val="00AB12DA"/>
    <w:rsid w:val="00AF49B9"/>
    <w:rsid w:val="00B64392"/>
    <w:rsid w:val="00BD2790"/>
    <w:rsid w:val="00BD6376"/>
    <w:rsid w:val="00BE1EEC"/>
    <w:rsid w:val="00C55DC2"/>
    <w:rsid w:val="00CD5051"/>
    <w:rsid w:val="00D1057A"/>
    <w:rsid w:val="00D20B24"/>
    <w:rsid w:val="00D63FBF"/>
    <w:rsid w:val="00D66292"/>
    <w:rsid w:val="00DA5F28"/>
    <w:rsid w:val="00DB5020"/>
    <w:rsid w:val="00DC6AE6"/>
    <w:rsid w:val="00DE390D"/>
    <w:rsid w:val="00DF5A62"/>
    <w:rsid w:val="00E004DD"/>
    <w:rsid w:val="00EA430E"/>
    <w:rsid w:val="00EC3A38"/>
    <w:rsid w:val="00EE4071"/>
    <w:rsid w:val="00F141D6"/>
    <w:rsid w:val="00F53677"/>
    <w:rsid w:val="00F6637A"/>
    <w:rsid w:val="00F752E3"/>
    <w:rsid w:val="00F84547"/>
    <w:rsid w:val="00F8552B"/>
    <w:rsid w:val="00FD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17330"/>
  <w15:chartTrackingRefBased/>
  <w15:docId w15:val="{384FF79B-FC67-46E9-A8B0-83A612F02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2DA"/>
    <w:pPr>
      <w:spacing w:after="0" w:line="240" w:lineRule="auto"/>
    </w:pPr>
    <w:rPr>
      <w:rFonts w:eastAsia="Times New Roman" w:cs="Times New Roman"/>
      <w:kern w:val="0"/>
      <w:szCs w:val="2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12D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2D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2D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2D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2D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2D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2D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2D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2D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2D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2D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2D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2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2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2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2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2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1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2D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12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2DA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12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2DA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12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2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2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AB12DA"/>
    <w:rPr>
      <w:color w:val="0000FF"/>
      <w:u w:val="single"/>
    </w:rPr>
  </w:style>
  <w:style w:type="table" w:styleId="TableGrid">
    <w:name w:val="Table Grid"/>
    <w:basedOn w:val="TableNormal"/>
    <w:uiPriority w:val="39"/>
    <w:rsid w:val="00AB12DA"/>
    <w:pPr>
      <w:spacing w:after="0" w:line="240" w:lineRule="auto"/>
    </w:pPr>
    <w:rPr>
      <w:kern w:val="0"/>
      <w:lang w:val="lv-LV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F49B9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0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ita.zikmane@at.gov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Ivulāne</dc:creator>
  <cp:keywords/>
  <dc:description/>
  <cp:lastModifiedBy>Anita Zikmane</cp:lastModifiedBy>
  <cp:revision>4</cp:revision>
  <dcterms:created xsi:type="dcterms:W3CDTF">2025-03-07T06:15:00Z</dcterms:created>
  <dcterms:modified xsi:type="dcterms:W3CDTF">2025-03-07T10:34:00Z</dcterms:modified>
</cp:coreProperties>
</file>