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3.1.apakšpunkta “Pašreizējā situācija, problēmas un risinājumi” sadaļas “Risinājuma apraksts” 4.punktā norādīto informāciju, ar finansējuma saņēmējiem ir notikušas sarunas par projektu īstenošanas gaitu, ir izvērtēti riski, kā rezultātā ir nepieciešams precizēt Ministru kabineta noteikumu projekta pielikumā norādīto projekta iesniedzēja valsts nekustamo īpašumu vai ēku (ēku grupu) sarakstu, no projekta 2.posma īstenošanas (būvniecība) izslēdzot Rēzeknes Mākslas un dizaina vidusskolu (īstenošanas adrese: Baznīcas iela 34A, Rēzekne) un valsts akciju sabiedrību "Valsts nekustamie īpašumi" (īstenošanas adrese: Bezdelīgu 1A, Rīga). Lai nodrošinātu savstarpēji atbilstošu un skaidri izsekojamu informāciju starp anotācijā un Ministru kabineta noteikumu projekta pielikumā norādīto, lūdzam atbilstoši pārskatīt un precizēt noteikumu projekta pielikumā norādīto finansējuma apmēru iepriekš minētajiem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skaidrai, nepārprotamai informācijas izsekojamībai lūdzam papildināt pielikumā norādītos skaidrojumus atsaucē “**” un “***” ar norādi, ka attiecīgajiem projektiem 2.kārta (būvniecība) netiks īstenota 1.2.1.4.i. investīcijas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r w:rsidR="00000000" w:rsidRPr="00000000" w:rsidDel="00000000">
              <w:rPr>
                <w:vertAlign w:val="superscript"/>
                <w:rtl w:val="0"/>
              </w:rPr>
              <w:t xml:space="preserve">1</w:t>
            </w:r>
            <w:r w:rsidR="00000000" w:rsidRPr="00000000" w:rsidDel="00000000">
              <w:rPr>
                <w:rtl w:val="0"/>
              </w:rPr>
              <w:t xml:space="preserve"> šo noteikumu 30.4. apakšpunktā minētās izmaksas plāno kā vienu izmaksu pozīciju, piemērojot vienoto izmaksu likmi līdz 7 % apmērā no šo noteikumu pielikumā minētām paredzēto būvdarbu līgumu summām;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izmantot vienotu likmi netiešo izmaksu segšanai, lūdzam noteikumu projekta 4.punktā izteiktā 30.4.apakšpunktā noteiktās izmaksas noteikt Ministru kabineta 2023.gada 8.augusta noteikumos Nr.443 “Eiropas Savienības Atveseļošanas un noturības mehānisma plāna 1.2. reformu un investīciju virziena "Energoefektivitātes uzlabošana" 1.2.1.4.i. investīcijas "Energoefektivitātes uzlabošana valsts sektora ēkās, t. sk. vēsturiskajās ēkās" īstenošanas noteikumi" (turpmāk - noteikumi Nr. 443) kā netiešās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atkārtoti izvērtēt noteikumu Nr. 443 30. punktā noteiktās izmaksas, kuras varētu klasificēt kā netiešās attiecināmās izmaksas, kā piemēram, publicitātes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2021. gada 14.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54. pantam, ja darbības netiešo izmaksu segšanai izmanto vienotu likmi, tā var pamatoties uz likmi līdz 7 % apmērā no attiecināmajām tiešajām izmaksām. Ņemot vērā iepriekšminēto, lūdzam precizēt noteikumu projekta 5. punktu, skaidri nosakot, ka projekta vadības personāla atlīdzības izmaksas, kas radušās uz darba līguma, rīkojuma vai uzņēmuma (pakalpojuma) līguma pamata, tai skaitā valsts sociālās apdrošināšanas obligātās iemaksas no apliekamajām attiecināmajām izmaksām, projekta administrēšanas izmaksas un īstenošanas personāla atlīdzības izmaksas plāno kā vienu izmaksu pozīciju, piemērojot vienoto izmaksu likmi, kas ir 7 % no noteikumu Nr. 443 30. punktā noteiktajām izmaksām, nevis būvdarbu izmaksām, kas nav atbilstoši iepriekšminētās regulas prasībām, vienlaikus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ka finansējuma saņēmēja Profesionālās izglītības kompetences centrs “Nacionālā Mākslu vidusskola” projektā Slokas ielas 52a, Rīgā būvprojekts "PIKC "Nacionālā Mākslu vidusskola" ēku pārbūve Slokas ielā 52A, Rīgā” ir jau izvērtēta atbilstoši MK noteikumu 42.punktam.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attiecīgi papildināt MK noteikumu 44.punktu, ka arī šis projekts ir izņēmuma gadījums.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16.08.2024.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24-TA-831</w:t>
    </w:r>
    <w:r>
      <w:br/>
    </w:r>
    <w:r w:rsidR="00000000" w:rsidRPr="00000000" w:rsidDel="00000000">
      <w:rPr>
        <w:rtl w:val="0"/>
      </w:rPr>
      <w:t xml:space="preserve">Izdrukāts 16.08.2024.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Atzinumi_24-TA-831.docx</dc:title>
</cp:coreProperties>
</file>

<file path=docProps/custom.xml><?xml version="1.0" encoding="utf-8"?>
<Properties xmlns="http://schemas.openxmlformats.org/officeDocument/2006/custom-properties" xmlns:vt="http://schemas.openxmlformats.org/officeDocument/2006/docPropsVTypes"/>
</file>