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1.1. apakšpunktā ietverto pamatojumu, ņemot vērā Ministru kabineta 2021. gada 9. septembra noteikumu Nr. 17 "Tiesību akta projekta sākotnējās ietekmes izvērtēšanas kārtība" 22. punktu un, to, ka saskaņa ar Valsts kancelejas 2020. gadā izdoto Tiesību akta projekta ietekmes sākotnējās izvērtēšanas metodiskiem norādījumiem/rokasgrāmatu (12lp), ja tiek grozīti jau esoši Ministru kabineta noteikumi, pamatojumā ir jānorāda atsauce uz kādu politikas attīstības plānošanas dokumentu vai vismaz informatīvo ziņojumu par kādu steidzami risināmu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28.07.2023.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28.07.2023.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Atzinumi_23-TA-243.docx</dc:title>
</cp:coreProperties>
</file>

<file path=docProps/custom.xml><?xml version="1.0" encoding="utf-8"?>
<Properties xmlns="http://schemas.openxmlformats.org/officeDocument/2006/custom-properties" xmlns:vt="http://schemas.openxmlformats.org/officeDocument/2006/docPropsVTypes"/>
</file>