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“Energoefektivitātes paaugstināšana uzņēmējdarbībā (ietverot pāreju uz atjaunojamo energoresursu tehnoloģiju izmantošanu siltumapgādē)”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programmas rādītāju novērtējuma projekta 1.punktā aizdevumu instrumentam atsevišķi norādīt vadības maksas apmēru no aizdevumu instrumentam paredzētā finansējuma līdzīgi kā garantiju instrumentam, kā arī izvērtēt un pēc nepieciešamības precizēt 5.punktā norādīto vadības izdevumu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rādītāju novērtējuma projekta 5.punktā ir norādīta vadības izdevumu kompensācija, tai skaitā Atveseļošanas fonda finansējums un Atveseļošanas fonda finansējuma atmaksas, 5 184,6 tūkst. euro apmērā, kas pārsniedz MK noteikumu Nr.594 10.4.apakšpunktā minēto ierobežojumu, proti, Altum administrēšanas un uzraudzības funkciju nodrošināšanai pieejamais Atveseļošanas un noturības mehānisma finansējums nepārsniedz 4 835 160 euro. Lūdzam skaidrot, kā tiks nodrošināts, ka administrēšanas un uzraudzības funkciju nodrošināšanai pieejamais finansējums nepārsniedz MK noteikumu Nr.594 10.4.apakšpunktā minēto ierobežojumu.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Atbalsts energoefektivitātes paaugstināšanai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š.g. 9.martā Eiropas Komisija apstiprināja grozījumus Komisijas regulā Nr.651/2014. Plānots, ka Regula ar grozījumiem tiks oficiāli pieņemta tuvāko nedēļu laikā pēc teksta tulkošanas visās ES oficiālajās valodās. Pēc tam grozījumi stāsies spēkā nākamajā dienā pēc to publicēšanas Eiropas Savienības Oficiālajā Vēstnesī. 6 mēnešu laikā pēc to publicēšanas, atbalsta programmas jāprecizē atbilstoši jaunajām normām, lai varētu turpināt piešķirt atbalstu, piemērojot atbrīvojumu no paziņošanas, ko paredz LESD 108.panta 3.punkts. Attiecīgi lūdzam izvērtēt plānoto atbalsta piešķiršanas brīdi un precizēt nosacījumus, kas izriet no Komisijas regulas Nr.651/2014 grozījumiem, t.sk., tās 38.panta un 41.panta, tādējādi nodrošinot, ka uz atbalsta piešķiršanas brīdi tiek piemērots atbilstošs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pieejama: State aid: Commission amends General Block Exemption rules (europa.eu)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82.4. divus gadus no brīža, kad tas kā N1 kategorijas transportlīdzekļa turētājs reģistrēts Transportlīdzekļu un to vadītāju valsts reģistrā, transportlīdzekli neizmanto kravu komercpārvadājumu veikšanai un neiznomā citiem kravu komercpārvadājumu veikšanai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ka, ņemot vērā Komisijas regulas Nr. 1407/2013 nozaru ierobežojumus un transportlīdzekļa amortizācijas perioda ilgumu, lūdzam precizēt MK noteikumu projekta 82.4.apakšpunktu, nosakot atbilstošu termiņu, kādā ir jāievēro transportlīdzekļa izmantošanas ierobežojumi atbilstoši Komisijas regulai Nr. 1407/2013. Vēršam uzmanību, ka šobrīd anotācijā ir ietverts pamatojums divu gadu izvēlei automašīnas garantijas termiņš, nevis nolietojuma termiņš. Turklāt anotācijā ir arī skaidrots, ka </w:t>
            </w:r>
            <w:r w:rsidR="00000000" w:rsidRPr="00000000" w:rsidDel="00000000">
              <w:rPr>
                <w:i w:val="1"/>
                <w:rtl w:val="0"/>
              </w:rPr>
              <w:t xml:space="preserve">"Ražotājs garantijas laikā uzņemas atbildību un garantē ražojumam noteikto prasību izpildi ar noteikumu, ka lietotājs ievēro ekspluatācijas un tehniskās apkalpošanas noteikumus; ražotājs uzņemas garantijas laikā bez atlīdzības novērst ražojuma defektus vai apmainīt to pret citu. Pēc 2 gadu perioda transportlīdzekļa ražotājs paredz, ka tas </w:t>
            </w:r>
            <w:r w:rsidR="00000000" w:rsidRPr="00000000" w:rsidDel="00000000">
              <w:rPr>
                <w:b w:val="1"/>
                <w:i w:val="1"/>
                <w:rtl w:val="0"/>
              </w:rPr>
              <w:t xml:space="preserve">sāk </w:t>
            </w:r>
            <w:r w:rsidR="00000000" w:rsidRPr="00000000" w:rsidDel="00000000">
              <w:rPr>
                <w:i w:val="1"/>
                <w:rtl w:val="0"/>
              </w:rPr>
              <w:t xml:space="preserve">nolietoties)."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piemēram, attiecībā uz budžeta iestādēm Ministru kabineta 2018.gada 13.februāra noteikumi Nr. 87 "Grāmatvedības uzskaites kārtība budžeta iestādēs" vieglo un kravas transportlīdzekļu nolietojumu nosaka 10 gadus. Attiecīgi lūdzam papildināt arī anotāciju ar skaidrojumu un pamatojumu amortizācijas termiņa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pārskatīt citus saistītos noteikumu punktus un, ja nepieciešams,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informāciju par investīcijas būtisko nozīmi un pienesumu Latvijas kopējai izaugsmei un tautsaimniecības attīstībai, ņemot vērā Finanšu ministrijas 2023.gada vēstulē Nr. 5.1-24/21/ 1076 “Par Eiropas Savienības fondu un Atveseļošanas fonda investīciju pienesumu tautsaimniecībai”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programmas rādītāju novērtējuma projekta 1.punktā sniegto informāciju attiecībā uz programmas darbības periodu, proti, precizēt to analoģiski norādītajam termiņam attiecībā uz programmas īstenošanas laiku, tai skaitā nodrošinot vienotu pieeju attiecībā uz zemsvītras atsauces formulēšanu, un korekti precizēt zemsvītras atsauci Nr. 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programmas rādītāju novērtējuma projekta 1.punktā norādītās zemsvītras atsauces. Zemsvītras atsauce Nr.1 ir dublēta.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w:t>
    </w:r>
    <w:r>
      <w:br/>
    </w:r>
    <w:r w:rsidR="00000000" w:rsidRPr="00000000" w:rsidDel="00000000">
      <w:rPr>
        <w:rtl w:val="0"/>
      </w:rPr>
      <w:t xml:space="preserve">Izdrukāts 05.04.2023.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w:t>
    </w:r>
    <w:r>
      <w:br/>
    </w:r>
    <w:r w:rsidR="00000000" w:rsidRPr="00000000" w:rsidDel="00000000">
      <w:rPr>
        <w:rtl w:val="0"/>
      </w:rPr>
      <w:t xml:space="preserve">Izdrukāts 05.04.2023.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Atzinumi_23-TA-85.docx</dc:title>
</cp:coreProperties>
</file>

<file path=docProps/custom.xml><?xml version="1.0" encoding="utf-8"?>
<Properties xmlns="http://schemas.openxmlformats.org/officeDocument/2006/custom-properties" xmlns:vt="http://schemas.openxmlformats.org/officeDocument/2006/docPropsVTypes"/>
</file>