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Projektā precizēt informāciju par apmācību kursu raksturojumu, norādot, ka apmācībās tiek nodrošināti kvalifikācijas celšanas pasākumi nodarbinātām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Projektā un tā anotācijā informāciju par komercdarbības atbalstu, paredzot, ka atbalstu gan finansējuma saņēmējam, gan gala labuma guvējiem var sniegt gan pēc Komisijas regulas Nr. 651/2014, gan pēc Komisijas regulas Nr. 1407/2013.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Projektā un tā anotācijā informāciju par to, ka vienā nozarē var apstiprināt līdz diviem projekta pieteikumiem, ja to pieļauj projektu atlasē pieejamais finansējums, jo ir nozares vai apakšnozares ar plašāku komersantu pārklājumu un specializāciju (piemēram, IKT nozarē esošajā 1.2.2.1.programmā tiek īstenoti 2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Projektā un tā anotācijā precizēt informāciju par projekta atbalsta summu vienam projektam, nosakot, ka tā nepārsniedz 1 000 000 EUR, lai nodrošinātu, ka iespējams iesniegt un apstiprināt vismaz vienu projekta pieteikumu katrā MK noteikumu projekta pielikumā norādītajā nozarē vai apakšnozarē. Turklāt esošā nozaru vajadzībās balstītā apmācību projekta (1.2.2.1. un 1.2.2.3.) atbalsta finansējuma apguves temps un apjoms atbilstošs šādai atbalsta summai (800 000 – 1 000 000 EUR) 6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gan Projektā, gan tā anotācijā precizēt informāciju par sasniedzamajiem rādītājiem, norādot, ka apmācāmo dalībnieku skaits tiek uzskaitīts kā ne-unikālās vienības jeb kā apmācību kursu apmeklētāju skaits, kā arī norādot katram finansējuma saņēmējam (Biedrībai) sasniedzamo rādītāju – komersantu skaits, minimālo vērtību – 35 komersanti (kas izriet no kopējā programmas rādītāja 464, sadalot to uz 13 – 14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Apmācību kursi – kursi, kas ir gan klātienes, tiešsaistes vai hibrīdformātā, kas sniedz iespēju iegūt neformālu izglītību, neatkarīgi no ģeogrāfiskās lokācijas, šie kursi piedāvā brīvu piekļuvi un var uzturēt praktiski neierobežotu dalībnieku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dzēst Projekta 2.2. punktā ietverto nosacījumu “šie kursi piedāvā brīvu piekļuvi un var uzturēt praktiski neierobežotu dalībnieku skaitu”, jo piekļuve apmācību kursiem nav brīva. Tā ir pieejama tikai reģistrētiem dalībniekiem, publisko kursu gadījumā piekļuve ir tiem, kas ir veikuši apmaksu. Praktiski neierobežots dalībnieku skaits – mācību platformas ir dažādas un grupu skaits ir dažāds, nav pamats šādu nosacījumu iekļaut.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tā atbilst komercdarbības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13.6. punktā ietverto - kādi ir komercdarbības atbalsta nosacījumi, kuriem jāatbilst biedrībai?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tai ir iepriekšēja pieredze prasmju pilnveides projektu īstenošanā vismaz trīs nepārtrauktus gadus ar dažādiem atbalsta projektiem, kas saistīti ar prasmju pilnveidi konkrētās nozares apmācībās un pēc apmācību kursu beigšanas izsniedz apliecinājumu par apmācību kursu apguvi.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Projekta 13.8. punktā ietverto par apliecinājumu vai sertifikātu izsniegšanu apmācību kursu dalībniekiem, norādot, kā apmācību sniedzējs šādu dokumentu izsniedz pēc pieprasījuma.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iesniedz CFLA paraksta lapu, kur gala labuma guvējs ar savu parakstu apliecina dalību kursā. Paraksta lapu izstrādā pakalpojuma sniedzējs, ko paraksta gala labuma guvējs, katra apmācību kursa nodarbībā sasniedz ne mazāk kā 75% apmeklējumu.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dzēst Projekta 14. punktu, jo punktā tiek noteikta neadekvāta prasība kopā ar projekta pieteikumu iesniegt dokumentus par konkrētu apmācību kursu īstenošanu un gala labuma guvēju apņemšanos piedalīties šajos kursos.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ietvaros var iesniegt tikai vienu projekta iesniegumu, kas attiecas uz šo noteikumu 13.2.apakšpunktā minētajām atbalstāmajām nozarēm.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17. punktu, norādot, ka projekta ietvaros var iesniegt tikai vienu projekta iesniegumu, kas attiecas uz šo noteikumu 1. pielikumā minētajām nozarēm </w:t>
            </w:r>
            <w:r w:rsidR="00000000" w:rsidRPr="00000000" w:rsidDel="00000000">
              <w:rPr>
                <w:b w:val="1"/>
                <w:rtl w:val="0"/>
              </w:rPr>
              <w:t xml:space="preserve">un apakšnozarēm</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Atbalstu sākotnēji sniedz vienam projekta iesniedzējam katrā atbalstāmajā nozarē, kurš saņēmis augstāko punktu skaitu pēc projektu iesniegumu izvērtēšanas.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18. punktu - atbalstu sākotnēji sniedz vienam projekta iesniedzējam katrā  šo noteikumu 1. pielikumā minētajā nozarē </w:t>
            </w:r>
            <w:r w:rsidR="00000000" w:rsidRPr="00000000" w:rsidDel="00000000">
              <w:rPr>
                <w:b w:val="1"/>
                <w:rtl w:val="0"/>
              </w:rPr>
              <w:t xml:space="preserve">un apakšnozarē</w:t>
            </w:r>
            <w:r w:rsidR="00000000" w:rsidRPr="00000000" w:rsidDel="00000000">
              <w:rPr>
                <w:rtl w:val="0"/>
              </w:rPr>
              <w:t xml:space="preserve">, kurš saņēmis augstāko punktu skaitu pēc projektu iesniegumu izvērtēšanas.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iekšējās kontroles sistēmas aprakstu, kas ietver aprakstu par pārbaudīšanas, novēršanas un labošanas nosacījumiem attiecībā uz korupcijas, krāpšanas, interešu konflikta un dubultā finansējuma vadības procesiem, kā arī nosacījumus apstākļu noteikšanai un identificēšanai, kas izraisa vai var izraisīt to iestāšanos, tai skaitā kā tiks pārbaudīta apmācību kursu nedublēšanās.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ar prasību CFLA nodrošināt vienotus metodiskos norādījumus un veidlapas saistībā ar Projekta punktiem Nr. 20.6; 40.3.; 40.7.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Biedrības var veikt iepirkumus projekta īstenošanas laikā, ja tie nepieciešami, lai uzlabotu komersantu digitālo prasmju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Projekta 23. punktu, jo iepirkumi tiek veikti visa projekta laikā, tiklīdz rodas nepieciešamība pēc konkrētām apmācībām. Nav skaidra arī īpašā norāde par digitālajām prasmēm.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ietvaros ir attiecināmas šādas projekta īstenošanas izmaksas, ko sedz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pārcelt Projekta 26.2.1. - 26.2.7. apakšpunktus zem 26.1. punkta, jo tie ir ar apmācību kursu izmaksām saistītie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informatīvo pasākumu izmaksas un konferences organizēšanas izmaksas, lai motivētu komersantus attīstīt prasmes, nodarbināto kvalifikācijas celšanai;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26.2. punktā dzēst “un konferences organizēšanas izmaksas”, jo konferenču organizēšana nav attiecināma uz apmācību projekta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ārpakalpojuma izmaksām – projektu vadība, grāmatvedības pakalpojumi, juridiskie pakalpojumi, t.sk. darba vietas aprīkojuma izmaksas (pieļaujama tikai aprīkojuma noma vai nolietojums), transporta izmaksas (maksa par degvielu, transportlīdzekļa noma, transporta pakalpojuma pirkšana, sabiedriskā transporta izmantošana), telpu īres un nomas izmaksas, telpu apsaimniekošanas izmaksas (apkure, elektrība, apsaimniekošanas pakalpojumi, ūdensapgāde), kancelejas preču izmaksas, pasta izdevumi, interneta un telekomunikāciju izmaksas, komandējumu vai darba braucienu izmaksas, iekļaujot šīs izmaksas ārpakalpojuma projekta vadības līgumā kā atsevišķu pozīciju.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Projekta 29.1. punktu, paredzot 42. punktā ietverto, proti, neatkarīgu revidentu vai iekšējo auditoru piesaisti kā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ja pasākuma vadība tiek veikta uz darba līguma pamata, tiek attiecinātas darba vietas aprīkojuma izmaksas (pieļaujama tikai aprīkojuma noma vai nolietojums), transporta izmaksas (maksa par degvielu, transportlīdzekļa noma, transporta pakalpojuma pirkšana, sabiedriskā transporta izmantošana), telpu īres un nomas izmaksas, telpu apsaimniekošanas izmaksas (apkure, elektrība, apsaimniekošanas pakalpojumi, ūdensapgāde), kancelejas preču izmaksas, pasta izdevumi, interneta un telekomunikāciju izmaksas, komandējumu vai darba braucienu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29.1. punkts paredz izmaksas projekta vadība, grāmatvedības pakalpojumi, juridiskie pakalpojumi, tad tas būtu iekļaujams arī 29.2. punktā, ja projekta vadība tiek veikta uz darba līguma pamata. Ņemot vērā personas datu milzīgo apjomu un tā drošas pārvaldīšanas nepieciešamību, projekta īstenotājam nepieciešams arī IT administratora atbalsts, lai nodrošinātu drošu datu glabāšanu un pārvaldību. Lūgums precizēt 29.2. punktu – papildinot ar projekta vadība, grāmatvedības pakalpojumi, juridiskie pakalpojumi. Ierosinām papildināt 29.1. punktu un 29.2. punktu, paredzot IT administratora pakalpojumu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ja pasākuma vadība tiek veikta uz darba līguma pamata, tiek attiecinātas darba vietas aprīkojuma izmaksas (pieļaujama tikai aprīkojuma noma vai nolietojums), transporta izmaksas (maksa par degvielu, transportlīdzekļa noma, transporta pakalpojuma pirkšana, sabiedriskā transporta izmantošana), telpu īres un nomas izmaksas, telpu apsaimniekošanas izmaksas (apkure, elektrība, apsaimniekošanas pakalpojumi, ūdensapgāde), kancelejas preču izmaksas, pasta izdevumi, interneta un telekomunikāciju izmaksas, komandējumu vai darba braucienu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29.2. punkta redakciju papildināt ar atalgojuma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ja pasākuma vadība tiek veikta uz darba līguma pamata, tiek attiecinātas </w:t>
            </w:r>
            <w:r w:rsidR="00000000" w:rsidRPr="00000000" w:rsidDel="00000000">
              <w:rPr>
                <w:b w:val="1"/>
                <w:rtl w:val="0"/>
              </w:rPr>
              <w:t xml:space="preserve">atalgojuma izmaksas</w:t>
            </w:r>
            <w:r w:rsidR="00000000" w:rsidRPr="00000000" w:rsidDel="00000000">
              <w:rPr>
                <w:rtl w:val="0"/>
              </w:rPr>
              <w:t xml:space="preserve">, darba vietas aprīkojuma izmaksas (pieļaujama tikai aprīkojuma noma vai nolietojums), transporta izmaksas (maksa par degvielu, transportlīdzekļa noma, transporta pakalpojuma pirkšana, sabiedriskā transporta izmantošana), telpu īres un nomas izmaksas, telpu apsaimniekošanas izmaksas (apkure, elektrība, apsaimniekošanas pakalpojumi, ūdensapgāde), kancelejas preču izmaksas, pasta izdevumi, interneta un telekomunikāciju izmaksas, komandējumu vai darba braucienu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Vadības izmaksas, t.sk. darba devēja valsts sociālās apdrošināšanas obligātās iemaksas nepārsniedz 17 % no kopējām projekta iesniegumā apstiprinātajām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Projekta 31. punktu, jo nerodas skaidrība, kas tās ir par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Pasākuma projekta apmācību un ar tām saistītā personāla izmaksas nepārsniedz 80% no kopējām projekta iesniegumā apstiprinātajām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Projekta 32. punktu un 34. punktu. Ņemot vērā, ka galvenais projekta uzdevums ir nodrošināt apmācības, tad ar apmācību kursiem saistītajām izmaksām nav lietderīgi noteikt limitu. Šādu limitu noteikšana tikai radīs papildus administratīvo slogu un palielinās kļūdīšanās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Pasākuma telpu un iekārtu nomas izmaksas par mācību laiku un mācību materiālu izmaksas nepārsniedz 5% no kopējām projekta iesniegumā apstiprinātajām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Projekta 32. punktu un 34. punktu. Ņemot vērā, ka galvenais projekta uzdevums ir nodrošināt apmācības, tad ar apmācību kursiem saistītajām izmaksām nav lietderīgi noteikt limitu. Šādu limitu noteikšana tikai radīs papildus administratīvo slogu un palielinās kļūdīšanās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Pasākuma projekta kopējās attiecināmās izmaksas un konferences organizēšanas izmaksas nepārsniedz 10% no kopējām projekta iesniegumā apstiprinātajām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Projekta 35. punktu, jo konferenču organizēšana nav attiecināma uz apmācību projekta mērķi. Turklāt projekta kopējās attiecināmās izmaksas nekādā veidā nevar nepārsniegt 10% no kopējām projekta iesniegumā apstiprinātajām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uzkrāj vismaz šādus datus, kurus atjauno ne retāk kā divas reizes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finansējuma saņēmēja pienākumu uzkrāt datus (39.3. punkts) un finansējuma saņēmēja pienākumu iesniegt nozares ministrijai ziņojumu ar informāciju (40.10. punkts). Lūgums mazināt administratīvo slogu finansējuma saņēmējam un vienoties, ka iestādes savā starpā apmainās ar vienai no tām jau iesniegto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izveidot iekšējās kontroles sistēmu, iekļaujot nosacījumus par pārbaudīšanas, novēršanas un labošanas nosacījumiem attiecībā uz korupcijas, krāpšanas, interešu konflikta un dubultā finansējuma vadības procesiem, iekļaujot nosacījumus par apstākļu noteikšanu un identificēšanu, kas izraisa vai var izraisīt to iestāšanos, novērtēšanu un labošanu un nosacījumus kā pārbaudīs, lai visu kārtu ietvaros netiktu apgūti vieni un tie paši apmācību kursi vairāk par vienu reizi;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ar prasību CFLA nodrošināt vienotus metodiskos norādījumus un veidlapas saistībā ar Projekta punktiem Nr. 20.6; 40.3.; 40.7.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40.4.1. plānoto maksājumu pieprasījuma iesniegšanas grafiku, paredzot, ka maksājuma pieprasījumi tiks iesniegti ne biežāk kā reizi pusgadā;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40.4.1. punktu, nosakot maksājuma pieprasījumu iesniegšanas biežumu </w:t>
            </w:r>
            <w:r w:rsidR="00000000" w:rsidRPr="00000000" w:rsidDel="00000000">
              <w:rPr>
                <w:b w:val="1"/>
                <w:rtl w:val="0"/>
              </w:rPr>
              <w:t xml:space="preserve">ne biežāk kā reizi ceturksnī</w:t>
            </w:r>
            <w:r w:rsidR="00000000" w:rsidRPr="00000000" w:rsidDel="00000000">
              <w:rPr>
                <w:rtl w:val="0"/>
              </w:rPr>
              <w:t xml:space="preserve">, lai gala labuma guvējiem nodrošinātu finanšu līdzekļu apriti un neiesaldētu apgrozāmos līdzekļus vairāk kā uz pusgadu.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 izstrādāt un saskaņot ar sadarbības iestādi komercdarbības atbalsta piešķiršanas gala labuma guvējam metodoloģiju;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ar prasību CFLA nodrošināt vienotus metodiskos norādījumus un veidlapas saistībā ar Projekta punktiem Nr. 20.6; 40.3.; 40.7.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40.13. elektroniski parakstīt šo noteikumu </w:t>
            </w:r>
            <w:r w:rsidR="00000000" w:rsidRPr="00000000" w:rsidDel="00000000">
              <w:rPr>
                <w:rtl w:val="0"/>
              </w:rPr>
              <w:t xml:space="preserve">3. </w:t>
            </w:r>
            <w:r w:rsidR="00000000" w:rsidRPr="00000000" w:rsidDel="00000000">
              <w:rPr>
                <w:rtl w:val="0"/>
              </w:rPr>
              <w:t xml:space="preserve">pielikum</w:t>
            </w:r>
            <w:r w:rsidR="00000000" w:rsidRPr="00000000" w:rsidDel="00000000">
              <w:rPr>
                <w:rtl w:val="0"/>
              </w:rPr>
              <w:t xml:space="preserve">ā esošo objektivitātes, konfidencialitātes un interešu konflikta neesības apliecinājumu, visiem, kas iesaistās lēmuma pieņemšanas procesā par komercdarbības atbalsta piešķiršanu gala labuma guvējam. Apliecinājumu paraksta pirms projekta pieteikuma izskatīšanas. Apliecinājumu finansējuma saņēmējs glabā atbilstoši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–Regula) Nr. 2018/1046 132. 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Projekta 40.13. punktā dzēst “elektroniski”, tādējādi neierobežojot tikai ar elektronisku parakstīšanu, ņemot vērā, ka ar elektronisko parakstīšanu ik pa laikam notiek dažādas tehniskas nebūšanas dažādu iemeslu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40.14. reģistrēt visus saņemtos pieteikumus, nosūtot iesniedzējam elektroniski apstiprinājumu par saņemto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40.14.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40.14. informēt gala labuma guvēju par pieņemtajiem valsts atbalsta lēmumiem, nosūtot gala labuma guvējam elektroniski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40.15. dokumentēt un uzglabāt pieteikumu apstiprināšanas un noraidīšanas iemeslu, kā arī reģistrēt iekšējā sistēmā visus saņemtos projekta iesniegumus;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40.15.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40.15. uzglabāt projekta lietvedībā gala labuma guvēja iesniegtos pieteikumus, pieņemtos valsts atbalsta lēmumus un gala labuma guvējam nosūtīto informāciju, atbilstoši 40.14.punktam.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40.17. pievienot KPVIS līguma par projekta īstenošanas kopiju vai līguma izrakstus par projektu apstiprināšanu, kas noslēgts starp finansējuma saņēmēju un gala labumu guvēju;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dzēst Projekta 40.17. punktā ietverto, jo līdz šim dokumentu nepieciešamību pievienot KPVIS noteica pēc CFLA izlases. Būtu vērtīgi šo praksi saglabāt, neradot papildu administratīvo slogu projekta īstenotājam.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40.18. pārbaudīt, novērst interešu konfliktu, korupciju un krāpšanu pirms iesniegumu izskatīšanas. Visu īstenošanas laiku nodrošināt pārbaužu dokumentēšanu un apliecinājuma par interešu konflikta nepieļaušanu parakstīšanu pirms padomes sēdes, nepieciešamības gadījumā novēršot identificētos riskus vai konstatēto interešu konfliktu;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un pārskatīt pēc būtības 40.18. punktu, jo nav saprotams, kāds interešu konflikts ir vērtējams uz iesnieguma izskatīšanas brīdi – projekta vadītājs vērtē dokumentāciju un komersanta atbilstību atbalsta saņemšanas nosacījumiem. Kurā brīdī un kuram attiecība pret kuru šeit ir paredzama interešu konflikta situācija? Nav arī padomes sēdes, kas izskatītu saņemtos komersantu pieteikumus – ir viens/ divi projektu vadītāji, kuri vērtē dokumentāciju un gatavo atzinumu par atbilstību/ neatbilstību.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saskaņot ar finansējuma saņēmējiem komercdarbības atbalsta piešķiršanas metodoloģiju pēc līguma par projekta īstenošanu noslēgšanas;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Projekta 44.2. punktu, nosakot, ka CFLA pienākums ir izstrādāt vadlīnijas un saskaņot metodoloģiju, līdzīgi kā tas tika izdiskutēts Sadarbības tīklu programmā, tad CFLA izstrādā vadlīnijas, ko finansējuma saņēmējs var izmantot un pielāgot savas organizācijas un nozares specifikai.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46.3. darbības plānā aprakstīta mijiedarbība ar reģionālajiem pakalpojumu 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dzēst Projekta 46.3. punktu. Finansējuma saņēmēja uzdevums atbilstoši anotācijā norādītajam ir “nodrošina, ka visiem pretendentiem tiek sniegta vienāda informācija par iepirkuma procesu, priekšmetu un līguma slēgšanas kārtību. Finansējuma saņēmējs iepirkuma prasības veido tā, lai tās nodrošinātu konkurenci un neradītu priekšrocības vai noraidīšanas iemeslu kādam konkrētam komersantam, tādejādi nodrošinot nediskriminējošu procedūru un vienlīdzīgu attieksmi pret visiem pretendentiem.” Finansējuma saņēmēja un šīs programmas mērķis nav reģionālo pakalpojumu sniedzēju biznesa veicināšana.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 finansējuma saņēmējam, tai skaitā partnerībā esošai biedrībai vai nodibinājumam, ja projekts tiek īstenots partnerībā, administratīvo izmaksu segšanai 100 % apmērā, nepārsniedzot šo noteikumu </w:t>
            </w:r>
            <w:r w:rsidR="00000000" w:rsidRPr="00000000" w:rsidDel="00000000">
              <w:rPr>
                <w:rtl w:val="0"/>
              </w:rPr>
              <w:t xml:space="preserve">26.1.5. </w:t>
            </w:r>
            <w:r w:rsidR="00000000" w:rsidRPr="00000000" w:rsidDel="00000000">
              <w:rPr>
                <w:rtl w:val="0"/>
              </w:rPr>
              <w:t xml:space="preserve">apakšpunkt</w:t>
            </w:r>
            <w:r w:rsidR="00000000" w:rsidRPr="00000000" w:rsidDel="00000000">
              <w:rPr>
                <w:rtl w:val="0"/>
              </w:rPr>
              <w:t xml:space="preserve">ā  un </w:t>
            </w:r>
            <w:r w:rsidR="00000000" w:rsidRPr="00000000" w:rsidDel="00000000">
              <w:rPr>
                <w:rtl w:val="0"/>
              </w:rPr>
              <w:t xml:space="preserve">60. </w:t>
            </w:r>
            <w:r w:rsidR="00000000" w:rsidRPr="00000000" w:rsidDel="00000000">
              <w:rPr>
                <w:rtl w:val="0"/>
              </w:rPr>
              <w:t xml:space="preserve">punkt</w:t>
            </w:r>
            <w:r w:rsidR="00000000" w:rsidRPr="00000000" w:rsidDel="00000000">
              <w:rPr>
                <w:rtl w:val="0"/>
              </w:rPr>
              <w:t xml:space="preserve">ā  minēto ierobežojumu;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60.4. punktā dzēst frāzi “nepārsniedzot šo noteikumu 26.1.5. apakšpunktā un 60. punktā minēto ierobežojumu”.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palielinātu Latvijas uzņēmumu konkurētspēju jaunu ārvalstu tirgu apgūšanā un veicinātu eksporta pieaugumu, kā arī atvieglotu kvalificēta darba spēka piesaistīšanu, izsakām priekšlikumu </w:t>
            </w:r>
            <w:r w:rsidR="00000000" w:rsidRPr="00000000" w:rsidDel="00000000">
              <w:rPr>
                <w:b w:val="1"/>
                <w:rtl w:val="0"/>
              </w:rPr>
              <w:t xml:space="preserve">atcelt konkrētu valodu apmācību ierobežojumus</w:t>
            </w:r>
            <w:r w:rsidR="00000000" w:rsidRPr="00000000" w:rsidDel="00000000">
              <w:rPr>
                <w:rtl w:val="0"/>
              </w:rPr>
              <w:t xml:space="preserve"> (ņemot vērā, ka eksportējošie uzņēmumi darbojas globālajā tirgū, nav nekāda pamata nosacījumam, ka atbalstāmas ir tikai zviedru, norvēģu, somu un vācu valodas apmācības).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precizēt Projekta 2. pielikuma 6. atsauces redakciju “Valodu apmācību izmaksas nedrīkst pārsniegt 15% no kopējām katra finansējuma saņēmēja projekta ietvaros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anotācijā informāciju par partnerībā īstenotiem projektiem - dzēšot to, jo programma paredz atbalstīt vienu iesniegtu finansējuma saņēmēja projekta pieteikumu par noteiktu summu, kas ir vienāda visiem finansējuma saņēmējiem. Var paredzēt papildu punktus projektu vērtēšanas kritērijos par partnerībā īstenotu projektu, kurā sadarbojas vairākas nozares organizācijas.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26.2.4. mācību maksa gala labuma guvēju darbiniekiem, tai skaitā sertifikācijas vai eksaminācijas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kas ir jāsaprot attiecībā uz 26.2.4. punktā ietverto “mācību maksa gala labuma guvēju darbiniekiem” jeb par ko maksā darbiniekiem?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26.2.5. tulku un tulkotāju pakalpojumu izmaksas (tulka izmaksas ietver komandējuma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26.2.5. punktā ietverto, kādas tieši izdevumu pozīcijas ir komandējuma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nodokļi t.sk. pievienotās vērtības nodoklis, muitas nodokļi, nodevas un soda maksājumi, izņemot šo noteikumu </w:t>
            </w:r>
            <w:r w:rsidR="00000000" w:rsidRPr="00000000" w:rsidDel="00000000">
              <w:rPr>
                <w:rtl w:val="0"/>
              </w:rPr>
              <w:t xml:space="preserve">26.1.1.</w:t>
            </w:r>
            <w:r w:rsidR="00000000" w:rsidRPr="00000000" w:rsidDel="00000000">
              <w:rPr>
                <w:rtl w:val="0"/>
              </w:rPr>
              <w:t xml:space="preserve">, </w:t>
            </w:r>
            <w:r w:rsidR="00000000" w:rsidRPr="00000000" w:rsidDel="00000000">
              <w:rPr>
                <w:rtl w:val="0"/>
              </w:rPr>
              <w:t xml:space="preserve">29.1.</w:t>
            </w:r>
            <w:r w:rsidR="00000000" w:rsidRPr="00000000" w:rsidDel="00000000">
              <w:rPr>
                <w:rtl w:val="0"/>
              </w:rPr>
              <w:t xml:space="preserve"> </w:t>
            </w:r>
            <w:r w:rsidR="00000000" w:rsidRPr="00000000" w:rsidDel="00000000">
              <w:rPr>
                <w:shd w:fill="#e0ffff" w:val="clear"/>
                <w:rtl w:val="0"/>
              </w:rPr>
              <w:t xml:space="preserve">un </w:t>
            </w:r>
            <w:r w:rsidR="00000000" w:rsidRPr="00000000" w:rsidDel="00000000">
              <w:rPr>
                <w:rtl w:val="0"/>
              </w:rPr>
              <w:t xml:space="preserve">29.2. </w:t>
            </w:r>
            <w:r w:rsidR="00000000" w:rsidRPr="00000000" w:rsidDel="00000000">
              <w:rPr>
                <w:rtl w:val="0"/>
              </w:rPr>
              <w:t xml:space="preserve">apakšpunktā</w:t>
            </w:r>
            <w:r w:rsidR="00000000" w:rsidRPr="00000000" w:rsidDel="00000000">
              <w:rPr>
                <w:rtl w:val="0"/>
              </w:rPr>
              <w:t xml:space="preserve">  minētos gadījumus. Gadījumā, ja šādas izmaksas ir radušās, tās ir gala labuma guvēju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Projekta 38.2. punktā noteikto, kā šajā gadījumā tiek attiecināts PVN, proti, vai telpu nomai un kancelejas precēm PVN var attiecināt no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40.6.3. par sasniegto atskaites punktu un mērķu pamatojošo dokumentāciju, t.sk. datu ticamību;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detalizētāk paskaidrot, kas ir paredzēts ar 40.6.3.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08.08.2023.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08.08.2023.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