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grozījumu uzskaitījumu, norādot arī 2025. gada 15. maija likumu "Grozījumi likumā "Par Krimināllikuma spēkā stāšanās un piemērošanas kārtību"", kas stājās spēkā 2025. gada 10. jūnijā.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 nr.; 2025, 102.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9. Šā likuma 2. pielikuma II nodaļas 5. punkta 9. apakšpunkts, 8. punkta 9. apakšpunkts un 9. punkta 11.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ciparu "9" ar ciparu "11", tā kā likuma pārejas noteikumos šobrīd ir 10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Šā likuma 2. pielikuma II nodaļas 5. punkta 9. apakšpunkts, 8. punkta 9. apakšpunkts un 9. punkta 11.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II nodaļas 18.punkta 8., 13. un 14.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likumprojekta pantu, aizstājot vārdu "svītrot" ar vārdu "izslēgt", kā arī aizstājot vārdu "apakšpunktus" ar vārdu "apakšpunktu" (vienskaitļa formā) (sk. rokasgrāmatas 60. 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II nodaļas 18. punkta 8., 13. un 14.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likuma spēkā stāšanās datumu, ievērojot Valsts kancelejas Normatīvo aktu projektu izstrādes rokasgrāmatas sadaļas "Likuma spēkā stāšanās" prasības (rokasgrāmatas 78. lpp., pieejams: https://tai.mk.gov.lv/book/1). Tā kā likumprojektā ir paredzēts papildināt pārejas noteikumus ar 11. punktu, nosakot, ka likuma 2. pielikuma II nodaļas 5. punkta 9. apakšpunkts, 8. punkta 9. apakšpunkts un 9. punkta 11. apakšpunkts  stājas spēkā 2025. gada 1. decembrī, aicinām ievērot Valsts kancelejas Normatīvo aktu projektu izstrādes rokasgrāmatā norādīto: "Pārejas noteikumos var paredzēt atsevišķu tā vienību citādu spēkā stāšanās kārtību nekā visam likumam. (..) Nav pieļaujams noteikt atsevišķas likuma vienības spēkā stāšanās dienu, kas ir agrāka par visa likuma spēkā stāšanās dienu." (rokasgrātas 53.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norādīts: “Papildu plānots noteikt kontroles izņēmumus tādām vielām kā (..), iekļaut kontrolējamo vielu sarakstos vielu - zaleplons, papildināt prekursoru sarakstu ar šādām vielām – (..), </w:t>
            </w:r>
            <w:r w:rsidR="00000000" w:rsidRPr="00000000" w:rsidDel="00000000">
              <w:rPr>
                <w:b w:val="1"/>
                <w:rtl w:val="0"/>
              </w:rPr>
              <w:t xml:space="preserve">svītrojot</w:t>
            </w:r>
            <w:r w:rsidR="00000000" w:rsidRPr="00000000" w:rsidDel="00000000">
              <w:rPr>
                <w:rtl w:val="0"/>
              </w:rPr>
              <w:t xml:space="preserve"> PMK etilglicidātu, BMK metilglicidātu, un PMK metilglicidātu, kā arī papildināt ģenērsikās grupas “Dibenzopirāni” aprakstu, lai nepārprotami kontrolei pakļautu vairākus semi sintētiskos kanabinoīdus.”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anotāciju, aizstājot vārdu "svītrojot" ar vārdu "izslēdzot".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ievērotu ES prasības, nepieciešams </w:t>
            </w:r>
            <w:r w:rsidR="00000000" w:rsidRPr="00000000" w:rsidDel="00000000">
              <w:rPr>
                <w:b w:val="1"/>
                <w:rtl w:val="0"/>
              </w:rPr>
              <w:t xml:space="preserve">svītrot</w:t>
            </w:r>
            <w:r w:rsidR="00000000" w:rsidRPr="00000000" w:rsidDel="00000000">
              <w:rPr>
                <w:rtl w:val="0"/>
              </w:rPr>
              <w:t xml:space="preserve"> Likuma 2.pielikuma Latvijā kontrolējamo narkotisko vielu, psihotropo vielu un prekursoru IV sarakstā (..) 18.punkta 8.apakšpunktā norādīto vielu etil 3-(2H-1,3-benzodioksol-5-il)-2-metiloksirān-2-karboksilāts (PMK etilglicidāts) un 14. apakšpunktā norādīto vielu metil-3-(1,3-benzodioksol-5-il)-2-metiloksirān-2-karboksilāts (PMK metilglicidāts). (..) Kā arī - </w:t>
            </w:r>
            <w:r w:rsidR="00000000" w:rsidRPr="00000000" w:rsidDel="00000000">
              <w:rPr>
                <w:b w:val="1"/>
                <w:rtl w:val="0"/>
              </w:rPr>
              <w:t xml:space="preserve">svītrot </w:t>
            </w:r>
            <w:r w:rsidR="00000000" w:rsidRPr="00000000" w:rsidDel="00000000">
              <w:rPr>
                <w:rtl w:val="0"/>
              </w:rPr>
              <w:t xml:space="preserve">Likuma 2.pielikuma Latvijā kontrolējamo narkotisko vielu, psihotropo vielu un prekursoru IV sarakstā (..) 18. punkta 13. apakšpunktā norādīto vielu metil-2-metil-3-feniloksirān-2-karboksilāts (BMK metilglicidāts).”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jau ģenēriskās formulas aprakstu ar nosaukumu 3-[1-(1-feniletil)piperidin-4-il]-1H-benzimidazol-2-on, vienlaikus </w:t>
            </w:r>
            <w:r w:rsidR="00000000" w:rsidRPr="00000000" w:rsidDel="00000000">
              <w:rPr>
                <w:b w:val="1"/>
                <w:rtl w:val="0"/>
              </w:rPr>
              <w:t xml:space="preserve">svītrojot</w:t>
            </w:r>
            <w:r w:rsidR="00000000" w:rsidRPr="00000000" w:rsidDel="00000000">
              <w:rPr>
                <w:rtl w:val="0"/>
              </w:rPr>
              <w:t xml:space="preserve"> vielu brorfīns, kā arī nosakot apmērus 0.001 un 1 grams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anotāciju, aizstājot vārdu "svītrot" ar vārdu "izslēgt"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5. sadaļu "Tiesību akta projekta atbilstība Latvijas Republikas starptautiskajām saistībām", ņemot vērā, ka likumprojekts tiek izstrādāts tajā skaitā, lai izpildītu starptautiskās saistības (2024.gada 28.februāra Komisijas deleģētā regula (ES) 2024/1331, ar ko attiecībā uz vielu izopropilidēna (2-(3,4-metilēndioksifenil)acetil)malonāta (IMDPAM) un citu vielu iekļaušanu klasificēto vielu sarakstā groza Eiropas Parlamenta un Padomes Regulu (EK) Nr. 273/2004 un Padomes Regulu (EK) Nr. 111/2005, kura stājās spēkā 2024. gada 3.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16.06.2025.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16.06.2025.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Atzinumi_25-TA-733.docx</dc:title>
</cp:coreProperties>
</file>

<file path=docProps/custom.xml><?xml version="1.0" encoding="utf-8"?>
<Properties xmlns="http://schemas.openxmlformats.org/officeDocument/2006/custom-properties" xmlns:vt="http://schemas.openxmlformats.org/officeDocument/2006/docPropsVTypes"/>
</file>