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un pašvaldību dzīvojamo māju privatizāciju” (turpmāk-Likums) 49. pants “Bez atlīdzības īpašumā nodoto dzīvokļu vai viendzīvokļa māju īpašuma tiesību nostiprināšana” paredz, ka, ja saskaņā ar šā likuma 47. pantu noslēgta vienošanās par dzīvokļa vai viendzīvokļa mājas nodošanu īpašumā bez atlīdzības, īpašuma tiesības nostiprināmas uz attiecīgas vienošanās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tiesību normu, likumprojekta 10. panta pirmā daļa būtu papildināma ar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vārdiem […noslēgts pirkuma līgums] papildināt ar vārdiem [vai vienošanās par dzīvokļa vai viendzīvokļa mājas nodošanu īpašumā bez atlīdzības…]; pēc vārdiem […no pirkuma līguma] papildināt ar vārdiem [vai vienošanās par dzīvokļa vai viendzīvokļa mājas nodošanu īpašumā bez atlīdzības…]; pēc vārdiem […pamatojoties uz pirkuma līgumu] papildināt ar vārdiem [vai vienošanās par dzīvokļa vai viendzīvokļa mājas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[…Valsts zemes dienests pēc privatizācijas komisijas iesnieguma par dzīvokļa īpašumu reģistrāciju Nekustamo īpašumu valsts kadastra informācijas sistēmā (turpmāk – NĪVKIS) reģistrē dzīvokļa īpašumu, neveicot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 informācija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atrunāta kārtība gadījumos, kad, piemēram, pircējs miris, mainījusies valstiskā piederība, uzturas ārzemēs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atrunāta privatizācijas komisijas rīcība gadījumos, kad par dzīvokli, mākslinieka darbnīcu un neapdzīvojamo telpu ir izveidojies mājas apsaimniekošanas izdevumu un komunālo pakalpojumu apmaksas parāds vai Valsts zemes dienestā reģistrēti īpašuma apgrūtinājumi, parādi un tiesību nodrošinājumi.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41.panta ceturto daļu, slēdzot pirkuma līgumu ar personu, kurai pirkuma līguma slēgšanas brīdī ir īres, nomas, mājas apsaimniekošanas izdevumu vai komunālo pakalpojumu maksājumu parāds, vienlaicīgi nostiprināma ķīlas tiesība uz privatizēto objektu valsts vai pašvaldības labā pirkuma līguma slēgšanas brīdī esošās parādu summas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sagatavoti dzīvojamās mājas privatizācijai nepieciešamie dokumenti un slēgts pirkuma līgums nosaka Ministru kabineta 19.01.1999. noteikumi Nr. 20 „Dzīvojamās mājas privatizācijai nepieciešamo dokumentu sagatavošanas noteikumi” (turpmāk-MK noteikumi Nr.20).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kopsakarā nav vērtēti MK noteikumi Nr.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aktuālas informācijas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No10.panta ceturtās daļas nav secināms, kurš maksās par VZD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Gadījumā, ja netiks reģistrēts nākamais attiecīgais privatizētā objekta atsavināšanas darījums, tad šo summu privatizētā objekta īpašnieks varēs arī nemaksāt?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