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noteikumu projekta pielikumā (vērtēšanas kritēriji) veiktajiem precizējumiem, īpaši skaidrojot, kāpēc 3.1.apakšpunktā ir svītrota prasība par rezultātu uzturēšanai nepieciešamiem cilvēkresursiem un finanšu kapacitātes 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1.3.sadaļā ietvert atsauces uz noteikumu projekta punktiem, kuros tiek veikti grozījumi, lai anotācijā sniegtie skaidrojumi būtu skaidri identificējami.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skaidrojumu, kā šis noteikumu projekts ietekmē 2024.gada 20.martā uzsākto projektu iesniegumu atlasi, īpaši lūdzam sniegt skaidrojumu par 1) vērtēšanā esošajiem projektu iesniegumiem (par iespēju tos precizēt) un 2) vēl neiesniegtajiem projektu iesniegumiem.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ņemt vērā, ka anotācijā ir jābūt ietvertai arī informācijai, ka ir plānota visu projektu iesniedzēju informēšana par grozījumiem pēc to apstiprināšanas Ministru kabinetā, un grozījumu ietekmi uz to plānotajiem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iespēju projekta iesniedzējam piesaistīt sadarbības partneri, lūdzam papildināt anotācijā sniegto informāciju ar izvērtējumu - vai atbalsta sniegšana sadarbības partnerim nav kvalificējama kā komercdarbības atbalsts, proti, vai sadarbības partnera piesaiste neietekmē Eiropas Savienības iekšējo tirgu, tādējādi nodrošinot pasākuma ietvaros sniegtā atbalsta saderīgumu ar Līgumu par Eiropas Savienības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projekta iesniedzējam un investīcijas pasākuma ieviešanas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ka var tikt piesaistīts arī sadarbības partneris, lūdzam papildināt Ministru kabineta 2024. gada 20. februāra noteikumus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 (turpmāk - noteikumi Nr. 113) ar finansējuma saņēmēja un sadarbības partnera pienākumu un izmaksu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kopējais punktu skaits ir vienāds, priekšroku dod projekta iesniegumam, kuram lielāks punktu skaits piešķirts par šo noteikumu pielikuma 4.5. apakšpunktā minētā kvalitātes kritērija izpildi. Ja arī par šo kvalitātes kritēriju piešķirts vienāds punktu skaits, priekšroku dod projekta iesniegumam, kuram lielāks punktu skaits piešķirts par šo noteikumu pielikuma 4.6. apakšpunktā minētā kvalitātes kritērija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Nr. 113 ar jaunu pielikumu. Vēršam uzmanību, ka 2. pielikuma projekts, ar kuru tiek papildināti noteikumi Nr. 113, no spēkā esošās noteikumu Nr. 113 pielikuma redakcijas atšķiras tikai ar to, ka 2. pielikuma projektā pieminēta ne tikai projekta iesniedzēju, bet ari sadarbības partneru vērtēšana pēc tādiem pašiem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nepapildināt noteikumus Nr. 113 ar jaunu pielikumu, bet izteikt esošo pielikumu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Nr. 113 29. punktā ietverta norāde tikai uz </w:t>
            </w:r>
            <w:r w:rsidR="00000000" w:rsidRPr="00000000" w:rsidDel="00000000">
              <w:rPr>
                <w:u w:val="single"/>
                <w:rtl w:val="0"/>
              </w:rPr>
              <w:t xml:space="preserve">pielikumu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finansējuma saņēmēju līmenī izlases veidā nodrošina korupcijas, krāpšanas, interešu konflikta novēršanas principu pārbaudes saskaņā ar Eiropas Parlamenta un Padomes 2018. gada 18. jūlija Regulas (ES, </w:t>
            </w:r>
            <w:r w:rsidR="00000000" w:rsidRPr="00000000" w:rsidDel="00000000">
              <w:rPr>
                <w:i w:val="1"/>
                <w:rtl w:val="0"/>
              </w:rPr>
              <w:t xml:space="preserve">Euratom</w:t>
            </w:r>
            <w:r w:rsidR="00000000" w:rsidRPr="00000000" w:rsidDel="00000000">
              <w:rPr>
                <w:rtl w:val="0"/>
              </w:rPr>
              <w:t xml:space="preserve">) Nr.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000000" w:rsidRPr="00000000" w:rsidDel="00000000">
              <w:rPr>
                <w:i w:val="1"/>
                <w:rtl w:val="0"/>
              </w:rPr>
              <w:t xml:space="preserve">Euratom</w:t>
            </w:r>
            <w:r w:rsidR="00000000" w:rsidRPr="00000000" w:rsidDel="00000000">
              <w:rPr>
                <w:rtl w:val="0"/>
              </w:rPr>
              <w:t xml:space="preserve">) Nr. 966/2012 (turpmāk – regula Nr. 2018/1046), 61. pantu, kā arī dubultfinansējuma riska novēršanas un sasniegto mērķu pamatojošās dokumentācijas pārbaudes izlases veidā, tai skaitā datu ticamības pārbaudes;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paredzot, ka arī sadarbības partnerim jāievēro interešu konflikta, krāpšanas un korupcijas riska novēršanas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Pievienotās vērtības nodoklis nav attiecināms finansēšanai no Atveseļošanas fonda līdzekļiem. Pievienotās vērtības nodokļa izmaksas sedz finansējuma saņēmējs vai sadarbības partneris, vai gala labuma guvējs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neparedz iespēju attiecināt gala labuma guvēju veiktās izmaksas (noteikumu projekts paredz izmaksas finansējuma saņēmējam, tostarp tādas, kas ir vērstas uz gala labuma guvēju, bet ne paša gala labuma guvēja veiktus maksājumus), tādēļ aicinām izvērtēt, vai papildinājums par gala labuma guvējiem ir lietderīgs. Ja papildinājums tiek saglabāts, lūdzam papildināt anotāciju ar aprakstu par norēķinu kārtību starp gala labuma guvēju un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kompetenču centra darbības stratēģijas īstenošana augsta līmeņa digitālo prasmju pilnveidošanai un konkurētspējas paaugstināšanai, kā arī gala labuma guvēju atlases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kompetenču centra darbības stratēģija var paredzēt daudz plašāku aktivitāšu tvērumu, nekā saturiski tas atbilstu šī investīciju pasākuma mērķim, aicinām izvērtēt, un tādējādi zem darbības "stratēģijas īstenošana" iekļaujamo aktivitāšu loks ir plaši interpretējams, aicinām izvērtēt, vai šāda darbība nebūtu dzēšama, saglabājot tikai gala labuma guvēju atlases īstenošanu. Ja stratēģijas īstenošana tiek saglabāta, lūdzam izvērtēt, vai anotācija nav papildināma ar skaidrojumu, kādas aktivitātes šāda darbība varētu ietvert.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Investīcijas pasākuma ietvaros ar projekta īstenošanu saistītas šādas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detalizēt, nosakot, vai izmaksas ir attiecināmas tikai projekta iesniedzējam, vai arī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w:t>
            </w:r>
            <w:r w:rsidR="00000000" w:rsidRPr="00000000" w:rsidDel="00000000">
              <w:rPr>
                <w:vertAlign w:val="superscript"/>
                <w:rtl w:val="0"/>
              </w:rPr>
              <w:t xml:space="preserve">1</w:t>
            </w:r>
            <w:r w:rsidR="00000000" w:rsidRPr="00000000" w:rsidDel="00000000">
              <w:rPr>
                <w:rtl w:val="0"/>
              </w:rPr>
              <w:t xml:space="preserve"> slēgt sadarbības līgumu ar projekta sadarbības partneri (ja attiecināms) pirms projekta iesnieguma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Nr. 113 plānoto 43.4.</w:t>
            </w:r>
            <w:r w:rsidR="00000000" w:rsidRPr="00000000" w:rsidDel="00000000">
              <w:rPr>
                <w:vertAlign w:val="superscript"/>
                <w:rtl w:val="0"/>
              </w:rPr>
              <w:t xml:space="preserve">1</w:t>
            </w:r>
            <w:r w:rsidR="00000000" w:rsidRPr="00000000" w:rsidDel="00000000">
              <w:rPr>
                <w:rtl w:val="0"/>
              </w:rPr>
              <w:t xml:space="preserve"> apakšpunktu un pēc nepieciešamības to svītrot, ņemot vērā, ka sadarbības līgumā tiek, citstarp, ietverts arī detalizēts pienākumu un atbildības sadalījums starp finansējuma saņēmēju un sadarbības partneri, bet pirms projekta iesnieguma apstiprināšanas vēl nav objektīva pamata šādu sadarbības līgumu 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noteikumu Nr. 113 22. punktu ar pienākumu projekta iesniedzējam, iesniedzot projekta iesniegumu, pievienot sadarbības līguma </w:t>
            </w:r>
            <w:r w:rsidR="00000000" w:rsidRPr="00000000" w:rsidDel="00000000">
              <w:rPr>
                <w:u w:val="single"/>
                <w:rtl w:val="0"/>
              </w:rPr>
              <w:t xml:space="preserve">projektu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anotācijas 1.3. sadaļas apakšsadaļā "Risinājuma apraksts" minēts, ka </w:t>
            </w:r>
            <w:r w:rsidR="00000000" w:rsidRPr="00000000" w:rsidDel="00000000">
              <w:rPr>
                <w:i w:val="1"/>
                <w:rtl w:val="0"/>
              </w:rPr>
              <w:t xml:space="preserve">Papildus Noteikumi Nr. 113 precizēti nosakot, ka projekta iesniedzējam projekta iesniegumam jāpievieno sadarbības līgums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22.04.2024. 21.08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22.04.2024. 21.08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Atzinumi_24-TA-952.docx</dc:title>
</cp:coreProperties>
</file>

<file path=docProps/custom.xml><?xml version="1.0" encoding="utf-8"?>
<Properties xmlns="http://schemas.openxmlformats.org/officeDocument/2006/custom-properties" xmlns:vt="http://schemas.openxmlformats.org/officeDocument/2006/docPropsVTypes"/>
</file>