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aktuālo situāciju atskurbtuvju izveidē”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atskurbtuvju izveidē”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iebildumu, ka ziņojumā nepieciešams svītrot informāciju par akcīzes nodokļa ieņēmumiem kā finansējuma avotu atskurbšanas pakalpojuma pieejamības nodrošināšanai. Atkāroti norādām, ka Pašvaldību likuma (stājies spēkā 2023. gada 1. janvārī) 4. panta pirmās daļas 21. punkts paredz, ka atskurbināšanas pakalpojumu pieejamības nodrošināšana ir noteikta kā pašvaldības autonomā funkcija (norma saskaņā ar minētā likuma Pārejas noteikumu 2. punktu stāsies spēkā 2024. gada 1. janvārī), savukārt minētā likuma 4.panta ceturtā daļa nosaka, ka autonomo funkciju izpildi finansē no pašvaldības budžeta, ja likumā nav noteikts citādi, un arī informatīvā ziņojuma projekta 4.sadaļas pirmajā rindkopā tiek norādīts, ka pašvaldībām pilnībā jānodrošina atskurbināšanas pakalpojumu pieejamība. Papildus vēršam uzmanību, ka akcīzes nodokļa ieņēmumi tiek ieskaitīti vispārējos valsts budžeta ieņēmumos un tie nav tieši novirzāmi kādas konkrētas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12.01.2023.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12.01.2023.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Atzinumi_22-TA-3250.docx</dc:title>
</cp:coreProperties>
</file>

<file path=docProps/custom.xml><?xml version="1.0" encoding="utf-8"?>
<Properties xmlns="http://schemas.openxmlformats.org/officeDocument/2006/custom-properties" xmlns:vt="http://schemas.openxmlformats.org/officeDocument/2006/docPropsVTypes"/>
</file>