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 Krimināllikuma spēkā stāšanās un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09.02.2026.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09.02.2026.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