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un pārapdrošināšanas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tiek nodrošināta Eiropas Parlamenta un Padomes 2022. gada 14. decembra direktīvas (ES) 2022/2556 ar ko groza Direktīvas 2009/65/EK, 2009/138/EK, 2011/61/ES, 2013/36/ES, 2014/59/ES, 2014/65/ES, (ES) 2015/2366 un (ES) 2016/2341 attiecībā uz finanšu nozares digitālās darbības noturību (turpmāk - Direktīva 2022/2556) 9. panta 1. punktā noteiktās prasības direktīvas pārņemšanai izpilde. Proti, Direktīvas 2022/2556 9. panta 1. punkts noteic, ka dalībvalstis līdz 2025. gada 17. janvārim pieņem un publicē noteikumus, kas vajadzīgi, lai izpildītu šīs direktīvas prasības. Ņemot vēra, ka ir jau 2025. gada februāris, saprotams, ka Latvija nav nodrošinājusi Direktīvas 2022/2556 pārņemšanu noteiktajā laikā. Līdz ar to lūdzam sniegt izvērstu skaidrojumu par kavējumu, kā arī izvērtēt un skaidrot iespējamās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anotācijā netiek skaidrots, kā Latvija plāno pilnībā izpildīt no konkrētā Eiropas Savienības tiesību akta izrietošās saistības un pārņemt Direktīvu 2022/2556 pilnībā. Proti, anotācijā skaidrota tikai vienas direktīvas vienības pārņemšana. Attiecīgi lūdzam papildināt anotācijas 5.3. sadaļu "Cita informācija" ar skaidrojumu par to, kā (kuros tiesību aktos un kādos termiņos) Latvija plāno pilnībā nodrošināt Direktīvas 2022/2556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pilnīgus likumprojekta normu skaidrojumus. Piemēram, anotācijā netiek skaidroti veiktie papildinājumi, kas izriet no likumprojekta 3.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un precizēt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anotācijas 1.3. sadaļai un likumprojekta redakcijai tajā ieviesta Eiropas Parlamenta un Padomes 2022. gada 14. decembra Regula (ES) 2022/2554 par finanšu nozares digitālās darbības noturību un ar ko groza Regulas (EK) Nr. 1060/2009, (ES) Nr. 648/2012, (ES) Nr. 600/2014, (ES) Nr. 909/2014 un (ES) 2016/1011. Proti, atsauču uz regulu un tās vienībām ietveršana normatīvajos aktos pēc būtības ir regulas prasību ieviešana, jo tādējādi tiek nodrošināta regulas prasību praktiskā piemērošana. Ievērojot minēto, lūdzam papildināt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arī anotācijas 5.4. apakšsadaļas 1. tabulā jau ietvertos skaidrojumus un veikt nepieciešamos precizējumus,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arī norādīts, ka direktīvas 2022/2556 2. panta 1. punkts likumprojekta 2. punktā pārņemts pilnībā, tas neparedz nosacījumus, kas saistīti ar to, ka "</w:t>
            </w:r>
            <w:r w:rsidR="00000000" w:rsidRPr="00000000" w:rsidDel="00000000">
              <w:rPr>
                <w:i w:val="1"/>
                <w:rtl w:val="0"/>
              </w:rPr>
              <w:t xml:space="preserve">apdrošināšanas vai pārapdrošināšanas sabiedrības veic vajadzīgos pasākumus darbību nepārtrauktības un regularitātes nodrošināšanai, tostarp izstrādājot ārkārtas situāciju plānus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Informatīvās atsauces uz Eiropas Savienības direktīvām papildinājums pārņem Direktīvas 2022/2556 9. panta 1. punktu, bet netiek norādīts anotācijas 5.4. 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24-TA-2434</w:t>
    </w:r>
    <w:r>
      <w:br/>
    </w:r>
    <w:r w:rsidR="00000000" w:rsidRPr="00000000" w:rsidDel="00000000">
      <w:rPr>
        <w:rtl w:val="0"/>
      </w:rPr>
      <w:t xml:space="preserve">Izdrukāts 12.02.2025.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24-TA-2434</w:t>
    </w:r>
    <w:r>
      <w:br/>
    </w:r>
    <w:r w:rsidR="00000000" w:rsidRPr="00000000" w:rsidDel="00000000">
      <w:rPr>
        <w:rtl w:val="0"/>
      </w:rPr>
      <w:t xml:space="preserve">Izdrukāts 12.02.2025.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Atzinumi_24-TA-2434.docx</dc:title>
</cp:coreProperties>
</file>

<file path=docProps/custom.xml><?xml version="1.0" encoding="utf-8"?>
<Properties xmlns="http://schemas.openxmlformats.org/officeDocument/2006/custom-properties" xmlns:vt="http://schemas.openxmlformats.org/officeDocument/2006/docPropsVTypes"/>
</file>