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apliecinājumu,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Tomsone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minētā pieejamā finansējuma izlietošanas sabiedrība "Altum", izmantojot atbalsta programmas ietvaros atmaksāto finansējumu (klientu maksājumus no aizdevumiem un komisijas maksas par garantijām), kā arī garantiju kompensāciju izmaksām neizmantoto šo noteikumu </w:t>
            </w:r>
            <w:r w:rsidR="00000000" w:rsidRPr="00000000" w:rsidDel="00000000">
              <w:rPr>
                <w:rtl w:val="0"/>
              </w:rPr>
              <w:t xml:space="preserve">10.3.</w:t>
            </w:r>
            <w:r w:rsidR="00000000" w:rsidRPr="00000000" w:rsidDel="00000000">
              <w:rPr>
                <w:rtl w:val="0"/>
              </w:rPr>
              <w:t xml:space="preserve"> apakšpunktā</w:t>
            </w:r>
            <w:r w:rsidR="00000000" w:rsidRPr="00000000" w:rsidDel="00000000">
              <w:rPr>
                <w:rtl w:val="0"/>
              </w:rPr>
              <w:t xml:space="preserve"> minēto finansējumu, var: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skaidrojumu par precīzu atmaksu apmēru un nepieteikto garantiju kompensāciju apmēru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Tomsone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27.6.5. komersants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apvienot noteikumu 27.6.5. apakšpunktu ar noteikumu projekta 27.6.2.2. apakšpunktu, nodrošinot atbilstību Eiropas Savienības fondu 2021.-2027. gada plānošanas perioda vadības likuma (turpmāk - vadības likums) 22. panta 1. daļas otrajam punktam. Vēršam uzmanību, ka vadības likumā ietvertais izslēgšanas kritērijs nosaka nosacījumus par informatīvās deklarācijas iesniegšanas pienākuma neizpildi attiecībā tieši uz to personu, ar kuru nav noslēgts rakstveida darba līgums, taču noteikumu projektā ietvertie precizējumi nosaka nosacījumus par informatīvās deklarācijas iesniegšanas pienākuma neizpildi attiecībā uz jebkuru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atbalstam, ko piešķir saskaņā ar Komisijas regulas Nr. </w:t>
            </w:r>
            <w:r w:rsidR="00000000" w:rsidRPr="00000000" w:rsidDel="00000000">
              <w:rPr>
                <w:rtl w:val="0"/>
              </w:rPr>
              <w:t xml:space="preserve">651/2014</w:t>
            </w:r>
            <w:r w:rsidR="00000000" w:rsidRPr="00000000" w:rsidDel="00000000">
              <w:rPr>
                <w:rtl w:val="0"/>
              </w:rPr>
              <w:t xml:space="preserve"> 38., 38.a vai 41. pantu,​ – Komisijas regulas Nr.  </w:t>
            </w:r>
            <w:r w:rsidR="00000000" w:rsidRPr="00000000" w:rsidDel="00000000">
              <w:rPr>
                <w:rtl w:val="0"/>
              </w:rPr>
              <w:t xml:space="preserve">651/2014</w:t>
            </w:r>
            <w:r w:rsidR="00000000" w:rsidRPr="00000000" w:rsidDel="00000000">
              <w:rPr>
                <w:rtl w:val="0"/>
              </w:rPr>
              <w:t xml:space="preserve"> 1. panta 3. punktā noteiktajām nozarēm atbilstoši Komisijas regulas Nr.  </w:t>
            </w:r>
            <w:r w:rsidR="00000000" w:rsidRPr="00000000" w:rsidDel="00000000">
              <w:rPr>
                <w:rtl w:val="0"/>
              </w:rPr>
              <w:t xml:space="preserve">651/2014</w:t>
            </w:r>
            <w:r w:rsidR="00000000" w:rsidRPr="00000000" w:rsidDel="00000000">
              <w:rPr>
                <w:rtl w:val="0"/>
              </w:rPr>
              <w:t xml:space="preserve"> 2. panta 9.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Komisijas regulas Nr.  651/2014 1. panta 3. punktā noteiktās nozares nav aptvertas tikai ar Komisijas regulas Nr.  651/2014 2. panta 9. punktā noteikto "primārās lauksaimnieciskās ražošanas" definīciju, lūdzam pārskatīt un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