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Profesionālo Apdrošināšanas brokeru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ir secināms, ka transportlīdzeklim, kas nepiedalās ceļu satiksmē, bet ir novietots ilgstošai stāvēšanā, valstij nav pienākuma noteikt, ka tam būtu obligāta OCTA, jo tas ir novietots ilgstošai stāvēšanai un tas tā ir neatkarīgi no tā, kādā veidā transportlīdzeklis ir reģistrēts CSDD. Tomēr var secināt, ka, ja šāds transportlīdzeklis, kas ir novietots ilgstošai stāvēšanai, nodarītu zaudējumus 3 personai, tad zaudējumi būtu atlīdzināmi OCTA sistēmas ietvaros. Tāpēc LPABA ieskatā, vispiemērotāk ir noteikt, ka atlīdzības būtu izmaksājamas no LTAB un tas būtu nostiprināms likumā un šo arī formulēt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Auce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