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Ministru kabineta lēmumiem vai citiem dokumentiem, uz kuru pamata lidlauki “Liepāja”, "Paplaka", "Limbaži", "Ezere", "Kalupe", "Zaļenieki" un "Rumbula" nodoti attiecīgo pašvaldību īpašumā, kā arī pievienot Tiesību aktu lietai visu anotācijā minēto lidlauku īpašuma tiesības apliecinošus dokumentus, bez kuru esības nav iespējams izvērtēt rīkojuma projekta izstrādes nepieciešamību, lietderību un tiesisko pamatojumu, kā arī Ministru kabinets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25.07.2024.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25.07.2024.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Atzinumi_24-TA-1688.docx</dc:title>
</cp:coreProperties>
</file>

<file path=docProps/custom.xml><?xml version="1.0" encoding="utf-8"?>
<Properties xmlns="http://schemas.openxmlformats.org/officeDocument/2006/custom-properties" xmlns:vt="http://schemas.openxmlformats.org/officeDocument/2006/docPropsVTypes"/>
</file>