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piešķiršanas kārtība pašvaldību vietējās ekonomikas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atbalsta programmas īstenošanas, novērtēšanas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precīzi pārrakstot Reģionālās attīstības likuma 14. panta 2. punktā Ministru kabinetam doto pilnvarojumu un svītrojot projekta 1. punkta apakšpunktus, ievērojot Ministru kabineta 2009. gada 3. februāra noteikumu Nr. 108 "Normatīvo aktu projektu sagatavošanas noteikumi" 100. punktā noteikto. Vienlaikus lūdzam izvērtēt projektā ietvertā regulējuma atbilstību Reģionālās attīstības likuma 14. panta 2. punktā Ministru kabinetam dotajam pilnvarojumam, piemēram, attiecībā uz atbalsta piešķiršanas kritēriju un atbalsta programmas īstenošanas nosacījumu noteikšanu projektā, ņemot vērā to, ka Satversmes  tiesa ir  atzinusi, ka,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w:t>
            </w:r>
            <w:r w:rsidR="00000000" w:rsidRPr="00000000" w:rsidDel="00000000">
              <w:rPr>
                <w:rtl w:val="0"/>
              </w:rPr>
              <w:t xml:space="preserve">. Vēršam uzmanību uz to, ka nosacījumi un kritēriji ir materiāltiesisks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Aģentūra atbalstu sniedz saskaņā ar Eiropas Komisijas 2023. gada 13. decembra Regulu (ES) Nr. 2023/2831 par Līguma par Eiropas Savienības darbību 107. un 108. panta piemērošanu de minimis atbalstam (turpmāk – Komisijas regula Nr. 2023/2831), vai kā atbalstu, kas nekvalificējas kā komercdarbības atbalsts. Atbalsts nekvalificējas kā komercdarbības atbalsts, ja projekta iesniedzējam atbalsts paredzēts darbībām, kas nav saistītas ar saimnieciskās darbības veikšanu vai tāds atbalsts, kuru piešķirot, tas neatbilst vismaz vienai komercdarbības atbalstu raksturojošajai pazīmei.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teikumu: "Atbalsts nekvalificējas kā komercdarbības atbalsts, ja projekta iesniedzējam atbalsts paredzēts darbībām, kas nav saistītas ar saimnieciskās darbības veikšanu vai tāds atbalsts, kuru piešķirot, tas neatbilst vismaz vienai komercdarbības atbalstu raksturojošajai pazīmei", nedublējot (neskaidrojot) Komercdarbības atbalsta kontroles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piešķiršanas mērķis ir veicināt vietējo uzņēmējdarbību un pašvaldību ekonomisko attīstību, atbalstot jaunu uzņēmumu dibināšanu, esošo uzņēmumu attīstību un darba vietu radīšanu pašvaldībās, tādējādi veicinot investīciju piesaisti un eksporta veicināšanu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projekta 3. punktu,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ietvaros atbalstam pieejamais finansējums 2025. gadā ir 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un skaitli "2025. gadā", ņemot vērā, ka konkrētā norāde ir neskaidra (jo neizriet, kāds finansējuma apmērs pieejams pēc šī gada), turklāt no projekta jebkurā gadījumā izriet, ka aģentūra lēmumu par atbalsta piešķiršanu vai atteikumu piešķirt atbalstu var pieņemt vienīgi līdz 2025. gada 30. novembrim, līdz ar to, lai atbalstu sniegtu arī pēc 2025. gada, jebkurā gadījumā būtu nepieciešami grozījumi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ietvaros attiecināmās šādas darbības un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attiecināmas ir šādas darbības un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(nepieciešamības gadījumā - piemērveidā) projektā vai tā anotācijā skaidrot, kādas izmaksas granta nodrošināšanai komersantiem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21.08.2025.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25-TA-759</w:t>
    </w:r>
    <w:r>
      <w:br/>
    </w:r>
    <w:r w:rsidR="00000000" w:rsidRPr="00000000" w:rsidDel="00000000">
      <w:rPr>
        <w:rtl w:val="0"/>
      </w:rPr>
      <w:t xml:space="preserve">Izdrukāts 21.08.2025.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Atzinumi_25-TA-759.docx</dc:title>
</cp:coreProperties>
</file>

<file path=docProps/custom.xml><?xml version="1.0" encoding="utf-8"?>
<Properties xmlns="http://schemas.openxmlformats.org/officeDocument/2006/custom-properties" xmlns:vt="http://schemas.openxmlformats.org/officeDocument/2006/docPropsVTypes"/>
</file>