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anotācijas 5. sadaļu, nodrošinot pilnīgu informāciju par projekta atbilstību Latvijas Republikas starptautiskajām saistībām un to izpildes atspoguļojumu (anotācijas 5. sadaļas aizpildīšanā iesakām ievērot "Vadlīnijas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izstrādes procesā domājams mainījusies normu numerācija un anotācijas 5.4. apakšsadaļā ietvertas neprecīzas atsauces uz projekta vienībām. Tāpat, tabulā nav norādīts E</w:t>
            </w:r>
            <w:r w:rsidR="00000000" w:rsidRPr="00000000" w:rsidDel="00000000">
              <w:rPr>
                <w:i w:val="1"/>
                <w:rtl w:val="0"/>
              </w:rPr>
              <w:t xml:space="preserv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nosaukums, bet CELEX numurs ir neatbilstošs.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 apakšsadaļā skaidrotajam projekts saistīts arī ar citu Eiropas Savienības tiesību normu pārņemšanu, piemēram, "</w:t>
            </w:r>
            <w:r w:rsidR="00000000" w:rsidRPr="00000000" w:rsidDel="00000000">
              <w:rPr>
                <w:i w:val="1"/>
                <w:rtl w:val="0"/>
              </w:rPr>
              <w:t xml:space="preserve">lai nodrošinātu 2024. gada 24. aprīļa Eiropas Parlamenta un Padomes Direktīvas (ES) 2024/1275 par ēku energosniegumu 10. panta prasību izpildi, kas lielākajai daļai projektu kā saistības iestāsies projekta pēcuzraudzības periodā, pašvaldību ēkām jānodrošina, ka tām tiek uzstādītas piemērotas saules enerģijas iekārtas</w:t>
            </w:r>
            <w:r w:rsidR="00000000" w:rsidRPr="00000000" w:rsidDel="00000000">
              <w:rPr>
                <w:rtl w:val="0"/>
              </w:rPr>
              <w:t xml:space="preserve">". Attiecīgi lūdzam no anotācijas 1.3. apakšsadaļas skaidrojumiem izrietošo atspoguļot anotācijas 5.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iesniedzējam ir īpašuma, valdījuma, pārvaldīšanas vai bezatlīdzības lietošanas tiesības uz nekustamo īpašumu, tai skaitā zemi un infrastruktūru, kurā tiks veiktas projektā paredzētās darbības atbilstoši šo noteikumu </w:t>
            </w:r>
            <w:r w:rsidR="00000000" w:rsidRPr="00000000" w:rsidDel="00000000">
              <w:rPr>
                <w:rtl w:val="0"/>
              </w:rPr>
              <w:t xml:space="preserve">14.</w:t>
            </w:r>
            <w:r w:rsidR="00000000" w:rsidRPr="00000000" w:rsidDel="00000000">
              <w:rPr>
                <w:rtl w:val="0"/>
              </w:rPr>
              <w:t xml:space="preserve"> punktā minētajam. Īpašuma, valdījuma vai bezatlīdzības lietošanas tiesībām ir jābūt nostiprinātām zemesgrāmatā ne vēlāk kā līdz pirmā maksājuma pieprasījuma iesniegšanai sadarbības iestādē (izņemot gadījumu, ja pašvaldības īpašums uz normatīvā akta, līguma vai pašvaldības lēmuma pamata ir nodots pašvaldības iestādes – projekta iesniedzēja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projektā izvairīties no skaidrojuma sniegšanas iekavās un pieturzīmi iekavas aizstāt ar pieturzīmi komats, jo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pārskatīt projekta 15. punkta daļu "</w:t>
            </w:r>
            <w:r w:rsidR="00000000" w:rsidRPr="00000000" w:rsidDel="00000000">
              <w:rPr>
                <w:i w:val="1"/>
                <w:rtl w:val="0"/>
              </w:rPr>
              <w:t xml:space="preserve">[..], kurā tiks veiktas projektā paredzētās darbības atbilstoši šo noteikumu 14. punktā minētajam</w:t>
            </w:r>
            <w:r w:rsidR="00000000" w:rsidRPr="00000000" w:rsidDel="00000000">
              <w:rPr>
                <w:rtl w:val="0"/>
              </w:rPr>
              <w:t xml:space="preserve">", ņemot vērā, ka 14. punktā uzskaitītas nevis projektā paredzamās darbības, bet īpašumi, ēkas, kurās var veikt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līguma darbības laiku, kas nav īsāks par pieciem gadiem un nepārsniedz 10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saīsinājumu "līgums", "ēka"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iesniegumā iekļauj šādas atbalstāmās darbības, kas sekmē šo noteikumu </w:t>
            </w:r>
            <w:r w:rsidR="00000000" w:rsidRPr="00000000" w:rsidDel="00000000">
              <w:rPr>
                <w:rtl w:val="0"/>
              </w:rPr>
              <w:t xml:space="preserve">4.</w:t>
            </w:r>
            <w:r w:rsidR="00000000" w:rsidRPr="00000000" w:rsidDel="00000000">
              <w:rPr>
                <w:rtl w:val="0"/>
              </w:rPr>
              <w:t xml:space="preserve"> punktā norādīto rādītāju sasniegšanu un ietver investīcijas šo noteikumu </w:t>
            </w:r>
            <w:r w:rsidR="00000000" w:rsidRPr="00000000" w:rsidDel="00000000">
              <w:rPr>
                <w:rtl w:val="0"/>
              </w:rPr>
              <w:t xml:space="preserve">12.</w:t>
            </w:r>
            <w:r w:rsidR="00000000" w:rsidRPr="00000000" w:rsidDel="00000000">
              <w:rPr>
                <w:rtl w:val="0"/>
              </w:rPr>
              <w:t xml:space="preserve"> punktā minēto tiesību subjektu ēku energoefektivitātes un siltumnoturības uzlabošanai saskaņā ar pašvaldības attīstības programmā un investīciju plānā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ņemot vērā no projekta 25. punkta izrietošo nosacījumu par projekta īstenošanu "saskaņā ar pašvaldības attīstības programmā un investīciju plānā noteikto", analoģiski pirmās projektu iesniegumu atlases kārtas īstenošanas noteikumiem projektā nevajadzētu ietvert nosacījumu par to, ka "</w:t>
            </w:r>
            <w:r w:rsidR="00000000" w:rsidRPr="00000000" w:rsidDel="00000000">
              <w:rPr>
                <w:i w:val="1"/>
                <w:rtl w:val="0"/>
              </w:rPr>
              <w:t xml:space="preserve">projekta īstenošanas pamatojumu iekļauj projekta iesniegumā, izvērtējot pašvaldību ēku stāvokli un tajās plānotās funkcijas, ēkas iekļaušanos pašvaldības kopējā pakalpojumu infrastruktūras tīklā, vienlaikus ņemot vērā vietējo kopienu attīstības vajadzības, nodrošinot pakalpojumu pieejamību un sasniedzamību pašvaldību teritoriālajās vienībās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ēkas energosertifikātā paredzēta cietās biomasas kurināmā siltumenerģijas ražošanas iekārtas nomaiņa pret cietās biomasas kurināmā siltumenerģijas ražošanas iekārtu,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26.6. apakšpunktu, ņemot vērā, ka tajā paredzēta nomaiņa uz vienu un to pašu enerģijas ražošanas iekārtu.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lūdzam izvērtēt, vai pastāv atšķirības starp abām cietās biomasas kurināmā siltumenerģijas ražošanas iekārtām, un iesakām tās identificēt anotācijā, lai tiesību normu adresāts precīzi izprastu tās būtību. Piemēram, ja no projekta 26.6. apakšpunkta saprotama novecojušas vai bojātas "</w:t>
            </w:r>
            <w:r w:rsidR="00000000" w:rsidRPr="00000000" w:rsidDel="00000000">
              <w:rPr>
                <w:i w:val="1"/>
                <w:rtl w:val="0"/>
              </w:rPr>
              <w:t xml:space="preserve">cietās biomasas kurināmā siltumenerģijas ražošanas iekārtas</w:t>
            </w:r>
            <w:r w:rsidR="00000000" w:rsidRPr="00000000" w:rsidDel="00000000">
              <w:rPr>
                <w:rtl w:val="0"/>
              </w:rPr>
              <w:t xml:space="preserve">" nomaiņa vai kaut kas tamlīdzīgs, lūdzam to tā arī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26.2.4. efektīvas centralizētās siltumapgādes sistēmas pieslēguma izveidošanas izmaksas, tai skaitā siltummezgla un tā aprīkojuma iegādes, piegādes, uzstādīšanas un ieregulēšanas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izvairīties no subjektīvi vērtējamiem nosacījumiem vai nodrošināt skaidrojumus tiesību normu adresātiem to viennozīmīgai izpratnei. Vēršam uzmanību, piemēram, uz neskaidro formulējumu "efektīvas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tās ir tieši saistītas ar projekta ietvaros veiktajām darbībām, ir samērīgas, pamatotas un atbilst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projektu, piemēram, 28.1. un 38.14. apakšpunktu, konkretizējot to vai sniedzot skaidrojumus par to, kas šo vienību kontekstā saprotams ar atbilstību normatīvo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 nodrošina interešu konflikta neesību saskaņā ar Eiropas Parlamenta un Padomes 2024. gada 23. septembra Regulas (ES, Euratom) 2024/2509 par finanšu noteikumiem, ko piemēro Savienības vispārējam budžetam (pārstrādāta redakcija), 61. pantu un normatīvajiem aktiem publisko iepirkumu jomā,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redakcionāli precizēt projekta 38.5. apakšpunktu, izvērtējot, kurā trešās projektu iesniegumu atlases kārtas posmā iesniedzams apliecinājums par interešu konflikta neesību. Proti, vai tas parakstāms tikai tad, kad tiek iegūts finansējuma saņēmēja statuss vai jau projektu iesniegumu atlases kārtas sākuma posmā, kopā ar projekta iesniegumu, kā paredzēts pirmās projektu iesniegumu atlases kārtas īstenošanas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skaidrojumus, lūdzam ievērot, ka atšķirībā no regulām direktīvas nav tieši piemērojams tiesību akts. Direktīvās tiek noteikts sasniedzamais mērķis un dalībvalstu uzdevums ir savlaicīgi iestrādāt direktīvu nosacījumus nacionālajos normatīvajos aktos to mērķa sasniegšanai. Savukārt, pašreizējais apraksts veidots tā, ka tikai direktīva pati par sevi nosaka konkrētas prasības, neminot nacionālos tiesību aktus, kas to nodrošina. Piemēram, "</w:t>
            </w:r>
            <w:r w:rsidR="00000000" w:rsidRPr="00000000" w:rsidDel="00000000">
              <w:rPr>
                <w:i w:val="1"/>
                <w:rtl w:val="0"/>
              </w:rPr>
              <w:t xml:space="preserve">veicinās 2023. gada 13. septembra Eiropas Parlamenta un Padomes Direktīvas (ES) 2023/1791 par energoefektivitāti un ar ko groza Regulu (ES) 2023/955 6.pantā noteikto prasību izpildi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piemēram, šādā formātā: Komisijas 2020. gada 30. jūlija Īstenošanas Regula (ES) 2020/1197 ar kuru nosaka tehniskās specifikācijas un kārtību saskaņā ar Eiropas Parlamenta un Padomes regulu (ES) 2019/2152 par Eiropas uzņēmējdarbības statistiku, ar ko atceļ 10 tiesību aktus uzņēmējdarbības statistikas jomā (turpmāk - Regula 2020/1197).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04.12.2025. 19.24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04.12.2025. 19.24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