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Sadaļa “3.ES fondu 2021.–2027. gada plānošanas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“3. ES fondu 2021 – 2027. gada plānošanas periods” ar izvērtējumu par ES fondu 2021 . -2027.gada plānošanas perioda SAMP ātrākas ieviešanas riskiem,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 vienlaikus ieviešot divus apjomīgus Eiropas Savienības investīciju fondus kā Atveseļošanas un noturības mehānisma (turpmāk – ANM) investīcijas un  ES fondu 2021 – 2027. gada plānošanas perioda (turpmāk – ES fondi 2021 – 2027.gadam) specifiskos atbalsta mērķus (turpmāk – SAM)  un to pasākumus (turpmāk – SAMP)  ietekmēs IKT un būvniecības nozaru preču un pakalpojumu cenas un pieejamību (vērtējot iepriekšējo plānošanas periodu ES fondu pieredzi), t.i., vai ir vērtēta ANM investīciju, ES fondu 2021. – 2027. gadam SAM un SAMP potenciālais izmaksu sadārdzinājumu, Finansējuma saņēmēju projektu īstenošanas līdzfinansēšanas un sekmīgas ieviešanas iespējas. Ņemot vērā jau esošo ekonomisko situāciju, kad būvniecības nozarē piegāžu ķēžu pārrāvumu dēļ būvniecības pakalpojumu un preču cenas ir būtiski palielinājušās, piemēram, 2022. gada oktobrī, salīdzinot ar 2021. gada oktobri, būvniecības izmaksu līmenis Latvijā palielinājās par 19,6 %; būvmateriālu cenas palielinājās par 24,7 %, mašīnu un mehānismu uzturēšanas un ekspluatācijas izmaksas – par 18,4%, bet strādnieku darba samaksa pieauga par 10,4 %.;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pašvaldību iespējām aizņemties līdzekļus Valsts kasē ANM investīciju un  ES fondu 2021 – 2027. gada SAM un to SAMP projektu ieviešanai (t.sk., projektu sadārdzinājumu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“Par valsts budžetu 2023. gadam un budžeta ietvaru 2023., 2024. un 2025. gadam” 36.pantu pašvaldību aizņēmumu kopējais palielinājums ir paredzēts 178 138 258 euro, t.sk., Atveseļošanas un noturības mehānisma investīciju un  ES fondu 2021 – 2027. gada plānošanas perioda projektu īstenošanai, tādēļ ziņojumā ir būtiski iekļaut FM riska, kad Valsts kasē pašvaldības ir sasniegušas aizņēmuma iespēju slieksni, izvērtējumu un tālāko rīcību par pašvaldību aizņēmuma “sliekšņa” pārskatīšanu jeb palielināšanu. Iepriekš saskaņota pieeja šādā situācijā veicinātu pašvaldību iespēju īstenot  Atveseļošanas un noturības mehānisma investīciju un  ES fondu 2021 – 2027. gada plānošanas perioda līdzfinansētos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