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precizējumu rezultātā ir pazudis noteikumu projekta anotācijas 3.versijā iekļautais pamatojums valsts nodevas apmēra noteikšanai, proti, ka valsts nodeva jaunajam subjektu lokam paredzēta vienādā apmērā ar esošo subjektu loku (vienādu uzraudzības prasību abām grupām dēļ). Vēršam uzmanību, ka pamatojums bija iekļauts anotācijā atbilstoši Finanšu ministrijas š.g. 5.jūnija sniegtajiem iebildumiem. Ņemot vērā minēto, lūdzam anotācijā atjaunot/iekļaut pamatojumu valsts nodevas apmēra noteikšanai vai attiecīgi precizēt projekta izziņu, papildinot to ar vērā neņemtā iebilduma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05.08.2025.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05.08.2025.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Atzinumi_25-TA-316.docx</dc:title>
</cp:coreProperties>
</file>

<file path=docProps/custom.xml><?xml version="1.0" encoding="utf-8"?>
<Properties xmlns="http://schemas.openxmlformats.org/officeDocument/2006/custom-properties" xmlns:vt="http://schemas.openxmlformats.org/officeDocument/2006/docPropsVTypes"/>
</file>