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arī bezdarba riskam pakļautās personas un ar grozījumiem tiek paplašināts šai mērķa grupai pieejamais atbalsts, paredzot tiem arī profesionālo pārkvalifikācijas ieguvi, kvalifikācijas paaugstināšanu un ārpus formālās izglītības sistēmas apgūtās profesionālās kompetences novērtēšanu. Bezdarbnieku un darba meklētāju atbalsta likuma15.</w:t>
            </w:r>
            <w:r w:rsidR="00000000" w:rsidRPr="00000000" w:rsidDel="00000000">
              <w:rPr>
                <w:vertAlign w:val="superscript"/>
                <w:rtl w:val="0"/>
              </w:rPr>
              <w:t xml:space="preserve">1</w:t>
            </w:r>
            <w:r w:rsidR="00000000" w:rsidRPr="00000000" w:rsidDel="00000000">
              <w:rPr>
                <w:rtl w:val="0"/>
              </w:rPr>
              <w:t xml:space="preserve"> pants nosaka, ka bezdarba riskam pakļautā persona tostarp ir arī nodarbinātā persona vai pašnodarbinātais, kurš sasniedzis 50 gadu vecumu un nodarbinātā persona vai pašnodarbinātais, kuram ir darba tirgus prasībām nepietiekama izglītība vai prasmes. Norādām, ka projektā ietvertais bezdarba riskam pakļautās personas definējums ir pārlieku plašs un nenodrošina viennozīmīgu mērķa grupas identificēšanu. Vienlaikus normatīvais regulējums nekonkretizē, kādi kritēriji piemērojami “darba tirgus prasībām nepietiekamas izglītības vai prasmju” izvērtēšanai. Tāpat no regulējuma izriet, ka atbalstam potenciāli var kvalificēties jebkura persona pēc 50 gadu vecuma sasniegšanas neatkarīgi no tās faktiskās situācijas darba tirgū, kvalifikācijas līmeņa vai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atbalsts nodarbinātām personām tiek paredzēts IZM un EM pārziņā esošo ES fondu pasākumos,  tostarp 4.2.4.1. pasākumā "Atbalsts nozaru vajadzībās balstītai pieaugušo izglītībai", 4.2.4.2. pasākumā "Atbalsts pieaugušo individuālajās vajadzībās balstītai pieaugušo izglītībai" un 6.1.1.5. pasākumā "Nodarbināto prasmju paaugstināšana un atbalsts kvalifikācijas iegūšanai, atbalsts darbaspēka mācībām saskaņā ar uzņēmumu pieprasījumu". Ievērojot minēto, kā arī ņemot vērā, ka pastāv tiešs risks atbalsta un mērķa grupu pārklāšanās gadījumiem, lūdzam 4.3.3.1. pasākumā ietvert skaidrus nosacījumus atbalsta pasākumu demarkācijai ar IZM un EM pasākumiem, novēršot dubultfinansējuma risku. Vienlaikus aicinām nepieciešamības gadījumā organizēt savstarpēju sanāksmi iesaistīto pušu starpā, lai vienotos par praktisko pieeju demarkācijas nodrošināšanai un mērķa grupu nodalījumam. Tāpat lūdzam arī precizēt pasākuma ietvaros atbalstāmo mērķa grupas definējumu attiecībā uz bezdarba riskam pakļautām personām, nosakot konkrētus kritērijus vai parametru kopumu, kam jāatbilst bezdarba riskam pakļautai personai, lai tā varētu saņemt atbalstu 4.3.3.1. pasākumā. Attiecīgi lūdzam precizēt un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19.05.2026.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19.05.2026.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Atzinumi_26-TA-250.docx</dc:title>
</cp:coreProperties>
</file>

<file path=docProps/custom.xml><?xml version="1.0" encoding="utf-8"?>
<Properties xmlns="http://schemas.openxmlformats.org/officeDocument/2006/custom-properties" xmlns:vt="http://schemas.openxmlformats.org/officeDocument/2006/docPropsVTypes"/>
</file>