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Ziņojums par bērnu stāvokli valstī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sadaļā “Bērnība brīva no visa veida vardarbības” 2021. un 2022.gadam norādīto no prettiesiskām darbībām cietušo bērnu skaitu, kas saņēmuši sociālās rehabilitācijas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sadaļā “Bērni, kas nošķirti no ģimenes vides”  un informatīvā ziņojuma projekta 1.attēlā 2022.gadam norādīto bērnu skaitu, kam aprūpe tika nodrošināta audžuģimenē. Vienlaikus vēršam uzmanību, ka 2022.gadam norādītais bērnu sadalījums pēc ārpusģimenes aprūpes veida procentuāli veido kopsummu 100,2%.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“Patvēruma meklētāju un bēgļu bērni” rindkopu pirms 21.tabulas, norādot 2022.gadā alternatīvo statusu saņēmušo personu skaitu atbilstoši 21.tabulā norādītajam, t.i. 27 personas nevis 20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 valsts budžetu 2024. gadam un budžeta ietvaru 2024., 2025. un 2026. gadam” ir apstiprināts Ministru kabinetā un iesniegts pieņemšanai Saeimā, lūdzam svītrot informatīvā ziņojuma projekta sadaļas “Komitejas ieteikums: palielināt kompensāciju cietušajiem bērniem, tostarp izmantojot JPA starpniecību” pēdējās rindkopas pēdējo teikumu “Attiecīgie priekšlikumi valsts budžeta līdzekļu piešķiršanai ir iesniegti prioritāru pasākumu sarakstam, kuru paredzēts izskatīt MK un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15.11.2023.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15.11.2023.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Atzinumi_23-TA-2137.docx</dc:title>
</cp:coreProperties>
</file>

<file path=docProps/custom.xml><?xml version="1.0" encoding="utf-8"?>
<Properties xmlns="http://schemas.openxmlformats.org/officeDocument/2006/custom-properties" xmlns:vt="http://schemas.openxmlformats.org/officeDocument/2006/docPropsVTypes"/>
</file>