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Piesārņojošo darbību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 ka Valsts vides dienests kontrolē drošības aizsargjoslu, kā arī vides un dabas resursu aizsargjoslu noteikšanu un ievērošanu A, B vai C kategorijas piesārņojošo darbību izsniegšanas un pārskatīšanas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piesārņojošās darbības izmaiņa</w:t>
            </w:r>
            <w:r w:rsidR="00000000" w:rsidRPr="00000000" w:rsidDel="00000000">
              <w:rPr>
                <w:rtl w:val="0"/>
              </w:rPr>
              <w:t xml:space="preserve"> - izmaiņas objekta raksturā vai darbībā, objekta paplašināšana vai piesārņojošās darbības veida maiņa. Izmaiņas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noteikti kādi ir kritēriji, kas nosaka, kas var būtiski nelabvēlīgi ietekmēt cilvēku veselību vai vidi (piem., vai iestājas invaliditāte un kādas kategorijas, vai iestājas nāve, vai sākas alerģijas, vai piemēram, tiek pārsniegti gaisa kvalitātes normatīvi).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organizē publisko apspriešanu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19.panta trešās daļas 3.punktā svītrot vārdu “pašvaldība”,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pašvaldībai šajā piesārņojošas darbības atļaujas izsniegšanas posmā nav pietiekamas informācijas par paredzēto darbību un iespējamām ietekmēm, kas ir pieejama Valsts vides dienestam (piem., citu institūciju atzinumu, slēdzieni);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Ministru kabineta 2010.gada 30.novembra noteikumos Nr. 1082 “Kārtība, kādā piesakāmas A, B un C kategorijas piesārņojošas darbības un izsniedzamas atļaujas A un B kategorijas piesārņojošo darbību veikšanai” nav noteikti kritēriji, kādos gadījumos pašvaldībai ir jāpieņem lēmums veikt publisko apspriešanu (piem., vai visām jaunām B kategorijas piesārņojošām darbībām pirms izsniegšanas nepieciešama publiskā  apspriešana, ņemot vērā, ka atsevišķi piesārņojošās darbības veidi pēc būtības nerada nelabvēlīgas sekas cilvēku veselībai vai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termiņš, kas noteikts Ministru kabineta 2010.gada 30.novembra noteikumos Nr. 1082 ir pārāk īss, lai pašvaldība pieņemtu lēmumu par publiskās apspriešanas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Stacionāro piesārņojuma avotu radītā gaisa piesārņojuma un smaku emisiju novērtēšana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12. pantu, iekļaujot tajā  vides trokšņa novērtējumu, lai ierobežotu un kontrolētu radītās trokšņa emisijas (jo piemēram, trokšņa normatīvi ir pārsniegti visās Rīgas teritorijās, kas atrodas tuvumā pilsētas nozīmīgākajiem infrastruktūras objektiem).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20.06.2024.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20.06.2024.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