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projekta anotācijas 5.4. sadaļas 1. tabulu ar informāciju par attiecīgajā direktīvā ietvertās rīcības brīvības izmantošanu vai neizmantošanu (sk. Eiropas Parlamenta un Padomes 2023.gada 18.oktobra direktīvas (ES) 2023/2413, ar ko attiecībā uz atjaunīgo energoresursu enerģijas izmantošanas veicināšanu groza Direktīvu (ES) 2018/2001, Regulu (ES) 2018/1999 un Direktīvu 98/70/EK un atceļ Padomes Direktīvu (ES) 2015/652 (turpmāk - direktīva Nr. 2023/2413) 1. panta 21. punktā ietverto grozītās direktīvas 30. panta 6. punktu un 1. panta 22. punktā ietvertās grozītās direktīvas 31.a panta 5. punkta otro, trešo un ceturto daļu). Vienlaikus norādām, ka pretēji izziņā norādītajam skaidrojums jāsniedz, ne vien gadījumos, kad rīcības brīvība izmantota, bet arī apsvērumi, kādēļ rīcības brīvība konkrētā gadījumā nav tikusi izmantota (sk. arī Vadlīniju Tiesību akta projektu sākotnējās ietekmes novērtēšanai un novērtējuma ziņojuma sagatavošanai vienotajā tiesību aktu izstrādes un saskaņošanas portālā 47. lpp.; pieejamas: </w:t>
            </w:r>
            <w:r w:rsidR="00000000" w:rsidRPr="00000000" w:rsidDel="00000000">
              <w:rPr>
                <w:i w:val="1"/>
                <w:rtl w:val="0"/>
              </w:rPr>
              <w:t xml:space="preserve">https://www.mk.gov.lv/sites/mk/files/media_file/tap_anotacija_vadlinijas.pdf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skaidrot direktīvas Nr. 2023/2413 1. panta 21. punktā ietvertās grozītās direktīvas 30. panta 1., 2. un 9. punkta, 1. panta 22. punktā ietvertās grozītās direktīvas 31.a panta 4. un 5. punkta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biodegvielu, biomasas degvielu, bioloģiskā šķidrā kurināmā, biomasas kurināmā un biogāzes ilgtspējas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"Transporta enerģijas likums" (Nr: 660/Lp14) ietvaros atbildīgās ministrijas priekšlikumā attiecībā uz šī likumprojekta 19. pantu norādīts uz pilnvarojumu Ministru kabinetam noteikt </w:t>
            </w:r>
            <w:r w:rsidR="00000000" w:rsidRPr="00000000" w:rsidDel="00000000">
              <w:rPr>
                <w:u w:val="single"/>
                <w:rtl w:val="0"/>
              </w:rPr>
              <w:t xml:space="preserve">transporta sektorā realizējamo</w:t>
            </w:r>
            <w:r w:rsidR="00000000" w:rsidRPr="00000000" w:rsidDel="00000000">
              <w:rPr>
                <w:rtl w:val="0"/>
              </w:rPr>
              <w:t xml:space="preserve"> biodegvielu un biomasas degvielu ilgtspējas kritērijus un biodegvielu, biomasas degvielu, nebioloģiskas izcelsmes atjaunīgo degvielu un pārstrādātā oglekļa degvielu siltumnīcefekta gāzu emisiju ietaupījuma kritērijus</w:t>
            </w:r>
            <w:r w:rsidR="00000000" w:rsidRPr="00000000" w:rsidDel="00000000">
              <w:rPr>
                <w:u w:val="single"/>
                <w:rtl w:val="0"/>
              </w:rPr>
              <w:t xml:space="preserve">, kas piemērojami, tās realizējot patēriņam transporta sektorā</w:t>
            </w:r>
            <w:r w:rsidR="00000000" w:rsidRPr="00000000" w:rsidDel="00000000">
              <w:rPr>
                <w:rtl w:val="0"/>
              </w:rPr>
              <w:t xml:space="preserve">, lūdzam atbilstoši precizēt noteikumu projekta 2. punktu (nepieciešamības gadījumā precizējot arī citas vienības), precīzi atspoguļojot (pārrakstot) minēto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Šajos noteikumos noteiktie termini tiek lietoti Transporta enerģijas likuma, Enerģētikas likuma un šo noteikumu kontekstā un netiek lietoti meža apsaimniekošanas vai dabas aizsardzības nosacījumu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1.25. apakšpunktu, jo nav skaidrs, kā noteikumu projektā lietotos terminus varētu lietot meža apsaimniekošanas vai dabas aizsardzības nosacījumu kontekstā, tostarp no noteikumu projekta neizriet, kas ir domāts ar minētajiem nosacījumiem, turklāt no noteikumu projekta 1.30. apakšpunkta jau nepārprotami izriet šo noteikumu piemērošanas konteksts. Skaidrojam, ka citu nozaru kontekstā noteikumu projekts var paredzēt tiesisko regulējumu vienīgi gadījumos, ja to paredz attiecīgā likumā noteikts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Biodegvielas, bioloģiskā šķidrā kurināmā, biomasas degvielas un biomasas kurināmā izejvielām, kuras tiek ražotas vai iegūtas no Latvijā audzētas vai iegūtas meža biomasas, ir uzskatāmas par atbilstošas ilgtspējas kritērijiem, ja normatīvajos aktos par enerģētiku minētajā nacionālajā enerģētikas un klimata plānā ir prognozēts, ka tiks izpildītas Eiropas Parlamenta un Padomes 2018.gada 30.maija regulas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ietvaros Latvijai noteiktās saistības un tiks nodrošināts, ka zemes izmantošanas, zemes izmantošanas maiņas un mežsaimniecības sektorā radītais siltumnīcefekta gāzu emisiju apjoms nepārsniedz šajā sektorā nodrošināto oglekļa dioksīda piesaisti noteiktajos saistību periodos.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39. punktā ietverto iebildumu lūdzam noteikumu projekta anotāciju papildināt ar konkrētu informāciju par sanāksmi vai dokumentu, kurā Eiropas Komisija atzinusi, ka attiecīgais direktīvas nosacījums pēc būtības nav izpildāms un piemērojams meža biomasas ieguves līmenī un komersantu līmenī. Alternatīvi lūdzam anotāciju papildināt ar atbildīgās ministrijas uzdevumu noteiktā termiņā vērsties pie atbildīgā Eiropas Komisijas Ģenerāldirektorāta ar lūgumu sniegt skaidrojumu par konkrētās direktīvas normas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12</w:t>
            </w:r>
            <w:r w:rsidR="00000000" w:rsidRPr="00000000" w:rsidDel="00000000">
              <w:rPr>
                <w:rtl w:val="0"/>
              </w:rPr>
              <w:t xml:space="preserve"> Vienotais dabasgāzes pārvades un uzglabāšanas sistēmas operators nodrošina izcelsmes apliecinājumu pārsūtīšanu no elektroniskā reģistra, kurā tiek reģistrēti, uzglabāti un apstrādāti dati saistībā ar gāzes izcelsmes  apliecinājumiem, uz Savienības datubāzi. Piegādes ķēdē iesaistītā persona nodrošina, ka minētais izcelsmes apliecinājums tiek atcelts pēc tam, kad gāzveida biomasas kurināmā vai biomasas degvielas sūtījums tiek izņemts no savstarpēji savienotās Savienības gāzes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atbilstoši direktīvā noteiktajam vai skaidrot, kādēļ tas nav nepieciešams,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"47.12 Vienotais dabasgāzes pārvades un uzglabāšanas sistēmas operators nodrošina izcelsmes apliecinājumu pārsūtīšanu no elektroniskā reģistra, kurā tiek reģistrēti, uzglabāti un apstrādāti dati saistībā ar gāzes izcelsmes  apliecinājumiem, uz Savienības datubāzi brīdī, kad atjaunīgās gāzes sūtījums tiek reģistrēts Savienības datubāzē. Piegādes ķēdē iesaistītā persona nodrošina, ka minētais izcelsmes apliecinājums tiek atcelts pēc tam, kad gāzveida biomasas kurināmā vai biomasas degvielas sūtījums tiek izņemts no savstarpēji savienotās Savienības gāzes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Attiecībā uz šo noteikumu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minētajām iekārtām, izņemot iekārtu, kurā tiek veiktas Eiropas Savienības emisijas kvotu tirdzniecības sistēmā iekļautās piesārņojošās darbības un kurai nepieciešama siltumnīcefekta gāzu emisijas atļauja, šos noteikumus piemēro ar 2023. gada 1. augustu.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48. punktā ietverto iebildumu vēršam uzmanību, ka no izziņas neizriet, vai ar noteikumu projektu paredzēts atpakaļejoši attiecināt Ministru kabineta 2022. gada 2. novembra noteikumus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uz noteiktām iekārtām, tādēļ lūdzam sniegt atbilstošu skaidrojumu, attiecīgā gadījumā skaidrojot konkrētā noteikumu projekta regulējuma atbilstību tiesiskās paļāvības principam. Norādām, ka atbilstoši minētajam principam Eiropas Savienības direktīvu prasības pamatā (proti, ja izņēmumi netiek paredzēti pašā direktīvā) pārņemamas ar nacionālo tiesisko regulējumu, kam piemīt tūlītējs vai uz nākotni vērsts spēks laikā. Attiecīgi nepieciešams sniegt atbilstošu skaidrojumu par minēto vai atbilstoši precizēt vai svītrot noteikumu projekta 1.85 un 1.86.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juridiskās tehnikas prasībām, izdarot grozījumus Ministru kabineta noteikumu noslēguma jautājumos, tos noslēguma jautājumu punktus, kuri ir izpildīti, negroza, tādēļ aicinām svītrot noteikumu projekta 1.87.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r w:rsidR="00000000" w:rsidRPr="00000000" w:rsidDel="00000000">
              <w:rPr>
                <w:vertAlign w:val="superscript"/>
                <w:rtl w:val="0"/>
              </w:rPr>
              <w:t xml:space="preserve">1</w:t>
            </w:r>
            <w:r w:rsidR="00000000" w:rsidRPr="00000000" w:rsidDel="00000000">
              <w:rPr>
                <w:rtl w:val="0"/>
              </w:rPr>
              <w:t xml:space="preserve"> kūdrājs - šo noteikumu kontekstā sauszemes teritorija, kur anaerobos apstākļos uzkrājas vai arī vēsturiski uzkrājies kūdras slānis, kur var būt funkcionējošs purvs vai arī kūdras ieguvei nosusināts purvs;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ietvertajos terminu skaidrojumos svītrot norādes "šo noteikumu kontekstā",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Klimata likumā noteikto degvielas un kurināmā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38. punktā ietverto iebildumu, ja noteikumu projekts nestāsies spēkā vienlaikus vai pēc Klimata likuma spēkā stāšanās, lūdzam izvērtēt un nepieciešamības gadījumā papildināt noteikumu projektu ar pārejas kārtību attiecībā uz noteikumu Nr. 686 5.3.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un citas mežiem vai kokiem klātas teritorijas, kas atbilst pirmatnējo mežu nosacījumiem, un senie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pirmatnējo mežu nosacījumiem pilnībā var atbilst vienīgi paši pirmatnējie meži, aicinām redakcionāli precizēt, konkretizējot pirmatnējo mežu nosacījumus, kam jāatbilst mežiem vai kokiem klātajām teritorijām vai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ka tiek aizsargātas platības, tai skaitā, mitrājos, pļavās, virsājos un kūdrājos, kas ar starptautiskiem un konkrētās valsts tiesību aktiem ir noteiktas par aizsargājamām dabas teritorijām vai mikroliegumiem, lai saglabātu bioloģisko daudzveidību, sugas un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prasības neattiecas vienīgi uz Latvijas tiesību aktiem ("konkrētās valsts tiesību aktiem"), lūdzam noteikumu projektu precizēt atbilstoši attiecīgajā direktīvā noteiktajam. Skaidrojam, ka saiklis "un" ir kumulatīvs nosacījums, kura lietošanas gadījumā ir jāiestājas visiem noteikumu projektā minētajiem priekšnosacījumiem (t.i., gan starptautiskos, gan konkrētās valsts aktos jābūt noteiktam attiecīgajam statusam). Savukārt saiklis "vai" ir alternatīvs nosacījums, kura lietošana nosaka tikai viena priekšnosacījuma iestāšanās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ka tiek aizsargātas platības, tai skaitā, mitrājos, pļavās, virsājos un kūdrājos, kas ar starptautiskiem vai konkrētās valsts tiesību aktiem, vai ar attiecīgas kompetentās iestādes lēmumu ir noteiktas par aizsargājamām dabas teritorijām vai mikroliegumiem, lai saglabātu bioloģisko daudzveidību, sugas un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meža biomasas izcelsmes valsts vai reģionālā ekonomiskās integrācijas organizācija ir iesniegusi Apvienoto Nāciju Organizācijas Vispārējās konvencijas par klimata pārmaiņām sekretariātā nacionāli noteikto devumu, kas aptver lauksaimniecības, mežsaimniecības un zemes izmantošanas radītās emisijas un oglekļa dioksīda piesaisti un nodrošina, ka ar biomasas izstrādi saistītās oglekļa uzkrājuma izmaiņas tiek ieskaitītas attiecībā uz valsts saistībām samazināt vai ierobežot siltumnīcefekta gāzu emisijas, kā norādīts nacionāli noteiktajā devumā, vai saskaņā ar Parīzes nolīguma 5. pantu ir pieņēmusi attiecīgos tiesību aktus, kas izstrādes platībā piemērojami, lai saglabātu un palielinātu oglekļa uzkrājumus un oglekļa dioksīda piesaisti, un paredz, ka zemes izmantošanas, zemes izmantošanas maiņas un mežsaimniecības darbību siltumnīcefekta gāzu emisiju apjoms nepārsniedz šajās darbībās radīto oglekļa dioksīda piesaistes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(nepieciešamības gadījumā aizpildot arī anotācijas 5.5. sadaļu) skaidrot noteikumu projekta 1.48. apakšpunktā ietvertā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39.2.3. šo noteikumu </w:t>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minētais koksnes piegādes ķēdes sertifikāts,  </w:t>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minētais sertifikāts (atbilstības apliecinājums), šo noteikumu </w:t>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4. </w:t>
            </w:r>
            <w:r w:rsidR="00000000" w:rsidRPr="00000000" w:rsidDel="00000000">
              <w:rPr>
                <w:rtl w:val="0"/>
              </w:rPr>
              <w:t xml:space="preserve">apakšpunktā</w:t>
            </w:r>
            <w:r w:rsidR="00000000" w:rsidRPr="00000000" w:rsidDel="00000000">
              <w:rPr>
                <w:rtl w:val="0"/>
              </w:rPr>
              <w:t xml:space="preserve"> minētos dokumentus vai  </w:t>
            </w:r>
            <w:r w:rsidR="00000000" w:rsidRPr="00000000" w:rsidDel="00000000">
              <w:rPr>
                <w:rtl w:val="0"/>
              </w:rPr>
              <w:t xml:space="preserve">47.</w:t>
            </w:r>
            <w:r w:rsidR="00000000" w:rsidRPr="00000000" w:rsidDel="00000000">
              <w:rPr>
                <w:vertAlign w:val="superscript"/>
                <w:rtl w:val="0"/>
              </w:rPr>
              <w:t xml:space="preserve">9</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minētais pārbaudes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atsauces uz šo noteikumu 47.</w:t>
            </w:r>
            <w:r w:rsidR="00000000" w:rsidRPr="00000000" w:rsidDel="00000000">
              <w:rPr>
                <w:vertAlign w:val="superscript"/>
                <w:rtl w:val="0"/>
              </w:rPr>
              <w:t xml:space="preserve">7</w:t>
            </w:r>
            <w:r w:rsidR="00000000" w:rsidRPr="00000000" w:rsidDel="00000000">
              <w:rPr>
                <w:rtl w:val="0"/>
              </w:rPr>
              <w:t xml:space="preserve">4. apakšpunktu vietā atsaukties uz šo noteikumu 47.</w:t>
            </w:r>
            <w:r w:rsidR="00000000" w:rsidRPr="00000000" w:rsidDel="00000000">
              <w:rPr>
                <w:vertAlign w:val="superscript"/>
                <w:rtl w:val="0"/>
              </w:rPr>
              <w:t xml:space="preserve">6</w:t>
            </w:r>
            <w:r w:rsidR="00000000" w:rsidRPr="00000000" w:rsidDel="00000000">
              <w:rPr>
                <w:rtl w:val="0"/>
              </w:rPr>
              <w:t xml:space="preserve">1. un 47.</w:t>
            </w:r>
            <w:r w:rsidR="00000000" w:rsidRPr="00000000" w:rsidDel="00000000">
              <w:rPr>
                <w:vertAlign w:val="superscript"/>
                <w:rtl w:val="0"/>
              </w:rPr>
              <w:t xml:space="preserve">6</w:t>
            </w:r>
            <w:r w:rsidR="00000000" w:rsidRPr="00000000" w:rsidDel="00000000">
              <w:rPr>
                <w:rtl w:val="0"/>
              </w:rPr>
              <w:t xml:space="preserve">2. apakšpunktu, tādējādi neveidojot atsauces uz atsaucēm.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Šo noteikumu </w:t>
            </w:r>
            <w:r w:rsidR="00000000" w:rsidRPr="00000000" w:rsidDel="00000000">
              <w:rPr>
                <w:rtl w:val="0"/>
              </w:rPr>
              <w:t xml:space="preserve">47.</w:t>
            </w:r>
            <w:r w:rsidR="00000000" w:rsidRPr="00000000" w:rsidDel="00000000">
              <w:rPr>
                <w:vertAlign w:val="superscript"/>
                <w:rtl w:val="0"/>
              </w:rPr>
              <w:t xml:space="preserve">5</w:t>
            </w:r>
            <w:r w:rsidR="00000000" w:rsidRPr="00000000" w:rsidDel="00000000">
              <w:rPr>
                <w:rtl w:val="0"/>
              </w:rPr>
              <w:t xml:space="preserve">4. </w:t>
            </w:r>
            <w:r w:rsidR="00000000" w:rsidRPr="00000000" w:rsidDel="00000000">
              <w:rPr>
                <w:rtl w:val="0"/>
              </w:rPr>
              <w:t xml:space="preserve">apakšpunktā</w:t>
            </w:r>
            <w:r w:rsidR="00000000" w:rsidRPr="00000000" w:rsidDel="00000000">
              <w:rPr>
                <w:rtl w:val="0"/>
              </w:rPr>
              <w:t xml:space="preserve"> noteikto auditu komersants pirmo reizi nodrošina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noteikumu projekta 1.88. apakšpunktā, ar ko atbilstoši anotācijas 5.4. sadaļas 1. tabulā ietvertajai informācijai tiek pārņemtas direktīvas prasības, ietvertajam noteikumam, kas paredz komersanta pienākumu auditu nodrošināt līdz 2025. gada 31. decembrim vai alternatīvi lūdzam precizēt minētajā tabulā sniegto informāciju. Proti, norādām, ka direktīvas Nr. 2023/2413 pārņemšanas termiņš ir 2025. gada 21. maijs, tādēļ, ja prasība nodrošināt auditu izriet no minētās direktīvas, minētajā noteikumu projekta apakšpunktā paredzētais termiņš varētu būt pretrunā ar prasību attiecīgo direktīvu pārņemt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