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87.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“Grozījumi Ministru kabineta 2011. gada 27. decembra noteikumos Nr. 1032 “Atkritumu poligonu noteikumi””, projekta ID 23-TA-1094, turpmāk – Projekts, paredzēts Ministru kabineta 2011. gada 27. decembra noteikumu Nr. 1032 “Atkritumu poligonu noteikumi”, turpmāk – Noteikumi Nr. 1032,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jau iepriekš Projekta saskaņošanas procesā ir noradījusi uz to, ka pirms konkrētu mērķu izvirzīšanas ir nepieciešams sakārtot atkritumu uzskaites sistēmu, lai tādējādi nodrošinātu, ka Projektā norādītās atbildīgās personas iegūtu un strādātu ar patiesiem un reālai situācijai atbilstošiem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attiecībā uz iepriekš pausto LASUA iebildumu par Projektā esošo Noteikumu Nr. 1032 87.</w:t>
            </w:r>
            <w:r w:rsidR="00000000" w:rsidRPr="00000000" w:rsidDel="00000000">
              <w:rPr>
                <w:vertAlign w:val="superscript"/>
                <w:rtl w:val="0"/>
              </w:rPr>
              <w:t xml:space="preserve">1</w:t>
            </w:r>
            <w:r w:rsidR="00000000" w:rsidRPr="00000000" w:rsidDel="00000000">
              <w:rPr>
                <w:rtl w:val="0"/>
              </w:rPr>
              <w:t xml:space="preserve"> punkta redakciju norādīts, ka mērķi tika izvirzīti atbilstoši Eiropas Parlamenta un Padomes Direktīvas 1999/31/EK (1999. gada 26. aprīlis) par atkritumu poligoniem 1. panta 4. daļas d) apakšpunkta prasībām. LASUA vērš uzmanību, ka Direktīvā 1999/31/EK nemaz nav 1. panta ceturtās daļas d) apakšpunkts, bet visdrīzāk Projekta izziņā ir paredzēts atsaukties uz Eiropas Parlamenta un Padomes direktīvu (ES) 2018/850 (2018. gada 30. maijs), ar ko groza Direktīvu 1999/31/EK par atkritumu poligoniem. Iepriekš minētajā direktīvas 1. panta ceturtās daļas d) apakšpunktā norādīts,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Eiropas Savienības līmenī ir noteikts datums (2034. gada 31. decembris), līdz kuram ir jāsasniedz mērķis par poligonā apglabāto sadzīves atkritumu samazināšanu līdz 10 %, bet detalizētāk nav noteikts, kādi procentuālie mērķi dalībvalstīm būtu sasniedzami katru gadu. Proti, dalībvalstis pašas, ņemot vērā katras valsts atkritumu apsaimniekošanas sistēmas īpatnības, nosaka nacionālā līmeņa normatīvajos aktos sasniedzamos rādītājus, lai līdz 2035. gadam sasniegtu Direktīvas 1999/31/EK norādīto mērķi. Līdz ar to LASUA nevar piekrist Projekta izziņā norādītajam, ka Noteikumu Nr. 1032 87.</w:t>
            </w:r>
            <w:r w:rsidR="00000000" w:rsidRPr="00000000" w:rsidDel="00000000">
              <w:rPr>
                <w:vertAlign w:val="superscript"/>
                <w:rtl w:val="0"/>
              </w:rPr>
              <w:t xml:space="preserve">1</w:t>
            </w:r>
            <w:r w:rsidR="00000000" w:rsidRPr="00000000" w:rsidDel="00000000">
              <w:rPr>
                <w:rtl w:val="0"/>
              </w:rPr>
              <w:t xml:space="preserve"> punktā norādītie procentuālie apjomi un termiņi ir izvirzīti atbilstoši Direktīvai 1999/31/EK.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1.1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87.1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ka radīto atkritumu uzskaites sistēma šobrīd vēl nav tādā līmenī, lai no šiem datiem iegūtu patiesu un atbilstošu informāciju, izriet no Valsts statistiskā pārskata “Nr.3 – Atkritumi. Pārskats par atkritumiem” kopsavilkuma par 2021. gadu. Proti, tabulā “Radītais Sadzīves (visu nebīstamo) atkritumu daudzums no organizācijām, kas atskaitījušās ar Valsts statistikas pārskatu “Nr. 3-Atkritumi” norādīts, ka, piemēram, Rīgā radītais atkritumu daudzums ir 237464.67 tonnas, savukārt, piemēram, Ropažu novadā (kurā iedzīvotāju daudzums, salīdzinot ar Rīgu, ir vismaz uz pusi mazāks) radītais atkritumu daudzums ir 409569.82 tonnas. No iepriekš minētā LASUA ieskatā neapšaubāmi izriet, ka pašreizējie radīto atkritumu uzskaites dati neatspoguļo patiesos radīto atkritumu apjomus, jo faktiski ir maz ticams, ka teritorijā, kurā ir divas reizes vairāk iedzīvotāju, tiek radīti gandrīz divas reizes mazāk atkritumu nekā teritorijā, kurā iedzīvotāju skaits ir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w:t>
            </w:r>
            <w:r w:rsidR="00000000" w:rsidRPr="00000000" w:rsidDel="00000000">
              <w:rPr>
                <w:vertAlign w:val="superscript"/>
                <w:rtl w:val="0"/>
              </w:rPr>
              <w:t xml:space="preserve">1</w:t>
            </w:r>
            <w:r w:rsidR="00000000" w:rsidRPr="00000000" w:rsidDel="00000000">
              <w:rPr>
                <w:rtl w:val="0"/>
              </w:rPr>
              <w:t xml:space="preserve"> pantā minētie subjekti kompleksi var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02.04.2024.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02.04.2024.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