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Administratīvo teritoriju un apdzīvoto vietu likuma pārejas noteikumu 42.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Administratīvo teritoriju un apdzīvoto vietu likuma pārejas noteikumu 42. 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Neiebilstam pret sagatavotā informatīvā ziņojuma virzīšanu izskatīšanai Ministru kabinetā, bet vienlaikus norādām, ka VARAM kā vadošā valsts pārvaldes iestāde reģionālās un pašvaldību attīstības jomā ir atbildīga par Administratīvo teritoriju un apdzīvoto vietu likuma normu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Ilga Jermacāne (FM) (Andžela Aperčoje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13.11.2024.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13.11.2024.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Atzinumi_24-TA-2279.docx</dc:title>
</cp:coreProperties>
</file>

<file path=docProps/custom.xml><?xml version="1.0" encoding="utf-8"?>
<Properties xmlns="http://schemas.openxmlformats.org/officeDocument/2006/custom-properties" xmlns:vt="http://schemas.openxmlformats.org/officeDocument/2006/docPropsVTypes"/>
</file>