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nodevu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Ceļu infrastruktūras nodevas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neatbalsta pēc starpministriju sanāksmes precizēto likumprojekta 13.pantu, ar kuru tiek noteikts, ka ceļu infrastruktūras nodeva jāmaksā arī par traktortehnikas  nobraukto attālumu.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norāda, ka Eiropas Parlamenta un Padomes Direktīva (ES) 2022/362 (2022. gada 24. februāris), ar ko groza Direktīvas 1999/62/EK, 1999/37/EK un (ES) 2019/520 attiecībā uz dažu infrastruktūru lietošanas maksas noteikšanu transportlīdzekļiem (turpmāk – direktīva), tai skaitā grozītās direktīvas, attiecās uz autotransportu, piemēram, lielas noslodzes transportlīdzekļiem, smagajiem kravas transportlīdzekļiem, autobusiem un tālsatiksmes autobusiem, mazas noslodzes transportlīdzekļiem, vieglajiem komerciālajiem transportlīdzekļiem, mikroautobusiem un vieglajiem pasažieru automobiļiem. Traktortehnika nav ietilpusi un neietilps direktīvas un grozīto direktīvu tvērumā, kā arī tā neatbilst lielās vai mazās noslodzes transportlīdzekļu raksturlielumiem.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likuma 1.panta 21.apakšpunktu noteikts, ka traktortehnika ir pašgājējs transportlīdzeklis uz riteņiem vai kāpurķēdēm, kurš pārvietojas ar savu enerģiju, kuram ir vismaz divas asis, kura galvenā funkcija ir vilce, kurš ir īpaši izstrādāts, lai vilktu, stumtu, pārvietotu vai darbinātu konkrētas ierīces, mašīnas vai piekabes, un kura izmantošana cilvēku vai kravu pārvadāšanai pa ceļiem vai cilvēku vai kravu pārvadāšanai izmantojamu transportlīdzekļu vilkšanai pa ceļiem ir tikai sekundāra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paskaidrojam, ka traktortehnikas izmantošana ceļu satiksmē ir sekundāra funkcija, tai netiek piemērotas virkne noteiktās prasības, kas tiek piemērotas autotransportam, tai skaitā ar ceļu infrastruktūru saistītās nodevas un nodokļi.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Apstiprinot šādus grozījumus, Latvijas lauksaimnieki nonāks nelabvēlīgā konkurences situācijā salīdzinājumā ar uzņēmumiem citās Eiropas Savienības dalībvalstīs, kurās ceļu infrastruktūras nodevu nepiemēros traktortehnikai, jo direktīvā nav konkrēti noteikts, ka traktortehnikai ir jāpiemēro ceļu infrastruktūras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direktīva ļauj dalībvalstīm piešķirt dažus atbrīvojumus no nodevu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13.pantu, no tā pirmās un otrās daļas svītrojot vārdu "traktortehnika".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Karlapa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09.07.2024.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09.07.2024.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Atzinumi_23-TA-267.docx</dc:title>
</cp:coreProperties>
</file>

<file path=docProps/custom.xml><?xml version="1.0" encoding="utf-8"?>
<Properties xmlns="http://schemas.openxmlformats.org/officeDocument/2006/custom-properties" xmlns:vt="http://schemas.openxmlformats.org/officeDocument/2006/docPropsVTypes"/>
</file>