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nosaukumu un nodrošināt tā atbilstību saturam, ievērojot Ministru kabineta 2009. gada 3. februāra noteikumu Nr. 108 "Normatīvo aktu projektu sagatavošanas noteikumi" (turpmāk - noteikumi Nr. 108)  90. punktā noteikto, ka noteikumu projekta nosaukumu veido iespējami īsu un </w:t>
            </w:r>
            <w:r w:rsidR="00000000" w:rsidRPr="00000000" w:rsidDel="00000000">
              <w:rPr>
                <w:u w:val="single"/>
                <w:rtl w:val="0"/>
              </w:rPr>
              <w:t xml:space="preserve">atbilstošu likumā noteiktajam pilnvarojumam Ministru kabinetam un noteikumu saturam</w:t>
            </w:r>
            <w:r w:rsidR="00000000" w:rsidRPr="00000000" w:rsidDel="00000000">
              <w:rPr>
                <w:rtl w:val="0"/>
              </w:rPr>
              <w:t xml:space="preserve">. Vēršam uzmanību, ka projekts nosaka ne tikai Latvijas invazīvo sugu sarakstu un tas izstrādāts ne tikai pamatojoties uz Sugu un biotopu aizsardzības likuma 4. panta 22. punktu, kas paredz noteikt "Latvijas invazīvo sugu sarakstu", bet arī uz 4. panta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Sugu un biotopu aizsardzības likuma</w:t>
            </w:r>
            <w:r w:rsidR="00000000" w:rsidRPr="00000000" w:rsidDel="00000000">
              <w:rPr>
                <w:rtl w:val="0"/>
              </w:rPr>
              <w:t xml:space="preserve"> 4. panta 21. un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108 100. punktam, kas noteic, ka projekta pirmajā punktā raksta (pārraksta) likumā noteikto pilnvarojumu Ministru kabinetam, lūdzam izvērtēt projekta tiesisko pamatojumu un precizēt projektu. Norādām, ka projekts pilnībā neatspoguļo no pilnvarojuma izrietošo. Attiecīgi, lūdzam veikt nepieciešamos precizējumus projektā un, ja nepieciešams, sniegt izvērstāku skaidrojumu anotācijā par to, kā tiek izpildīts Ministru kabinetam paredzētais pilnvarojums.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nodrošināt pilnīgu, projektā noteiktajam un Ministru kabineta pilnvarojumam atbilstošu saturu. Vēršam uzmanību, ka, atbilstoši pilnvarojumam, Ministru kabinetam jānosaka, piemēram, </w:t>
            </w:r>
            <w:r w:rsidR="00000000" w:rsidRPr="00000000" w:rsidDel="00000000">
              <w:rPr>
                <w:i w:val="1"/>
                <w:rtl w:val="0"/>
              </w:rPr>
              <w:t xml:space="preserve">"sugu izplatības ierobežošanas un iznīcināšanas pasākumus</w:t>
            </w:r>
            <w:r w:rsidR="00000000" w:rsidRPr="00000000" w:rsidDel="00000000">
              <w:rPr>
                <w:i w:val="1"/>
                <w:u w:val="single"/>
                <w:rtl w:val="0"/>
              </w:rPr>
              <w:t xml:space="preserve"> un metodes</w:t>
            </w:r>
            <w:r w:rsidR="00000000" w:rsidRPr="00000000" w:rsidDel="00000000">
              <w:rPr>
                <w:rtl w:val="0"/>
              </w:rPr>
              <w:t xml:space="preserve">", kas pielikumā nav atsevišķi skaidrots. Norādīts tikai uz to, ka metodes, atkarībā no invāzijas skarto teritoriju daudzuma, lieluma un Spānijas kailgliemeža daudzuma, var kombinēt, kas tiesību normu adresātam nenodrošina izpratni par to kādas ir pašas metodes, kā tās īstenojamas u.tml. Atbilstoši projektam, pielikuma nosaukums ir "</w:t>
            </w:r>
            <w:r w:rsidR="00000000" w:rsidRPr="00000000" w:rsidDel="00000000">
              <w:rPr>
                <w:i w:val="1"/>
                <w:rtl w:val="0"/>
              </w:rPr>
              <w:t xml:space="preserve">Spānijas kailgliemeža iznīcināšanas metodes</w:t>
            </w:r>
            <w:r w:rsidR="00000000" w:rsidRPr="00000000" w:rsidDel="00000000">
              <w:rPr>
                <w:rtl w:val="0"/>
              </w:rPr>
              <w:t xml:space="preserve">", attiecīgi, tajā jābūt definētām  metodēm. Taču, pielikumā norādītais nosaukums ir "</w:t>
            </w:r>
            <w:r w:rsidR="00000000" w:rsidRPr="00000000" w:rsidDel="00000000">
              <w:rPr>
                <w:i w:val="1"/>
                <w:rtl w:val="0"/>
              </w:rPr>
              <w:t xml:space="preserve">Spānijas kailgliemeža Arion vulgaris pārvaldības pasākumi – izplatības ierobežošana, iznīcināšana, cietušo ekosistēmu atjaunošana</w:t>
            </w:r>
            <w:r w:rsidR="00000000" w:rsidRPr="00000000" w:rsidDel="00000000">
              <w:rPr>
                <w:rtl w:val="0"/>
              </w:rPr>
              <w:t xml:space="preserve">" un tā saturs vērsts tieši uz dažādu pasākumu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nodrošināt, lai visi pasākumi un ar to īstenošanu saistītie procesi ir pilnīgi, nepārprotami un viennozīmīgi saprotami. Piemēram, skaidri uzsvērt kas atbildīgs par pasākumu realizēšanu vai kontroli. Atbilstoši projektam, Valsts augu aizsardzības dienests veic tikai augu audzēšanas, turēšanas un tirdzniecības vietu kontroli un tirgotāju uzraudzību par Latvijas invazīvās sugas - Spānijas kailgliemeža klātbūtni. Tāpat, norādīts uz to, ka publisko teritoriju atgūšanas pasākuma ietvaros "</w:t>
            </w:r>
            <w:r w:rsidR="00000000" w:rsidRPr="00000000" w:rsidDel="00000000">
              <w:rPr>
                <w:i w:val="1"/>
                <w:rtl w:val="0"/>
              </w:rPr>
              <w:t xml:space="preserve">Izvietot speciālus konteinerus gliemežu savākšanai un nodrošināt savākto gliemežu utilizāciju</w:t>
            </w:r>
            <w:r w:rsidR="00000000" w:rsidRPr="00000000" w:rsidDel="00000000">
              <w:rPr>
                <w:rtl w:val="0"/>
              </w:rPr>
              <w:t xml:space="preserve">.", bet nenodrošina izvērstu izpratni par to vai tas jādara atbilstoši kādiem konkrētiem normatīvajiem aktiem, vai konteineriem jābūt īpašiem vai īpaši marķētiem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anotācijas 5. sadaļu, nodrošinot pilnīgu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 Vēršam uzmanību, ka atbilstoši anotācijas 5.3. apakšsadaļā sniegtajai informācijai par projekta atbilstību Eiropas Parlamenta un Padomes 2014. gada 22. oktobra Regulas (ES) Nr. 1143/2014 par invazīvu svešzemju sugu introdukcijas un izplatīšanās profilaksi un pārvaldību 12. pantam secināms, ka Latvija kā Eiropas Savienības dalībvalsts ir izmantojusi, piemēram, tai paredzēto rīcības brīvību izveidot valsts sarakstu ar invazīvām svešzemju sugām, kas rada bažas dalībvalstij.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vai anotācijā skaidrot, kādā veidā tieši vai kādos gadījumos šie noteikumi attieksies uz projekta 3. punktā minētajām teritorijām. Piemēram, vai ar šo noteikumu attiecināšanu saprotams, ka šajās teritorijās īstenojamas no projekta izrietošās aktivitātes, pasākumu u.tml., vai arī šī saistība saprotama vēl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izvairīties no skaidrojuma sniegšanas iekavās un pieturzīmi iekavas aizstāt ar pieturzīmi komats,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Augu audzēšanas, turēšanas un tirdzniecības vietu kontroli un tirgotāju uzraudzību par Latvijas invazīvās sugas - Spānijas kailgliemeža klātbūtni veic Valsts augu aizsardzības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ievērot vienotu terminoloģiju, formulējumus. Piemēram, vienlaicīgi lietots gan "Spānijas kailgliemeža Arion vulgaris", gan vienkārši "Spānijas kailgliemezis", bet pielikumā arī "gliemezis".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ietver izplatības ierobežošanas, kontroles un iznīcināšanas pārvaldības pasākumus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analoģiski 2. punkta redakcijai un tos salāgot, nodrošinot saturs neatkārtošanos vai konsolidēt abas vienības. Vēršam uzmanību, ka abi punkti norāda uz to, kas noteikts projekta pielikumā, piemēram, atkārtoti uzsver, ka pielikumā definēti ierobežošanas un iznīcināšanas pārvaldības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pielikumā skaidroto utilizācijas pasākumu, ņemot vērā anotācijā minēto problēmu, ka "</w:t>
            </w:r>
            <w:r w:rsidR="00000000" w:rsidRPr="00000000" w:rsidDel="00000000">
              <w:rPr>
                <w:i w:val="1"/>
                <w:rtl w:val="0"/>
              </w:rPr>
              <w:t xml:space="preserve">pastāv dažādas interpretācijas par to vai iegūtie Spānijas kailgliemeži ir bioloģiskie atkritumi vai dzīvnieku līķi</w:t>
            </w:r>
            <w:r w:rsidR="00000000" w:rsidRPr="00000000" w:rsidDel="00000000">
              <w:rPr>
                <w:rtl w:val="0"/>
              </w:rPr>
              <w:t xml:space="preserve">", un lēmuma projektā uzdoto uzdevumu sagatavot izmaiņas normatīvajā regulējumā atkritumu apsaimniekošanas jomā, nodrošinot efektīvu un vienotu pieeju valsts teritorijā Spānijas kailgliemežu utilizācijai. Proti, izvērtēt, vai ir korekti lietot strīdīgu formulējumu "</w:t>
            </w:r>
            <w:r w:rsidR="00000000" w:rsidRPr="00000000" w:rsidDel="00000000">
              <w:rPr>
                <w:i w:val="1"/>
                <w:rtl w:val="0"/>
              </w:rPr>
              <w:t xml:space="preserve">Nodošana </w:t>
            </w:r>
            <w:r w:rsidR="00000000" w:rsidRPr="00000000" w:rsidDel="00000000">
              <w:rPr>
                <w:i w:val="1"/>
                <w:u w:val="single"/>
                <w:rtl w:val="0"/>
              </w:rPr>
              <w:t xml:space="preserve">dzīvnieku līķu</w:t>
            </w:r>
            <w:r w:rsidR="00000000" w:rsidRPr="00000000" w:rsidDel="00000000">
              <w:rPr>
                <w:i w:val="1"/>
                <w:rtl w:val="0"/>
              </w:rPr>
              <w:t xml:space="preserve"> utilizācijai</w:t>
            </w:r>
            <w:r w:rsidR="00000000" w:rsidRPr="00000000" w:rsidDel="00000000">
              <w:rPr>
                <w:rtl w:val="0"/>
              </w:rPr>
              <w:t xml:space="preserve">" pirms izmaiņām normatīvajā regulējumā atkritumu apsaimniekošanas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pilnībā izvērtēt un atspoguļot sabiedrības grupas, kuras tiesiskais regulējums ietekmē vai var ietekmēt. Vēršam uzmanību, ka no projekta pielikuma secināms, ka tas var ietekmēt arī, piemēram, būvdarbu veicējus, jo tiešās iznīcināšanas pārvaldības pasākumi paredz ierobežojumus būvdarbu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pilnībā atspoguļot visas projekta izpildē iesaistītās institūcijas. Vēršam uzmanību, ka no projekta pielikuma izriet saistība arī 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