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60.punktu atbalsta kopējais apmērs plānošanas periodā no 2023. līdz 2027. gadam ir 6 900 000 </w:t>
            </w:r>
            <w:r w:rsidR="00000000" w:rsidRPr="00000000" w:rsidDel="00000000">
              <w:rPr>
                <w:i w:val="1"/>
                <w:rtl w:val="0"/>
              </w:rPr>
              <w:t xml:space="preserve">euro</w:t>
            </w:r>
            <w:r w:rsidR="00000000" w:rsidRPr="00000000" w:rsidDel="00000000">
              <w:rPr>
                <w:rtl w:val="0"/>
              </w:rPr>
              <w:t xml:space="preserve">, attiecīgi lūdzam pārskatīt un precizēt anotācijas 3.sadaļā 1.- 6.punktos sniegto informāciju, lai tā nav pretrunā noteikumu projektā paredzētajam. Vienlaikus, veicot precizējumus, lūdzam anotācijas 3.sadaļas 6.punktā sniegt informāciju par finansējumu sadalījumā pa nozarēm katram gadam. Papildus vēršam uzmanību, ka saskaņā ar Ministru kabineta 2022.gada 18.janvāra sēdē izskatīto informatīvo ziņojumu “Par Latvijas Kopējās lauksaimniecības politikas stratēģisko plānu 2023.-2027. gadam” (prot. Nr. 3 34. §) indikatīvais ELGF finansējums pasākumam “Ražotāju organizācijas citos sektoros (pārdale no tiešajiem maksājumiem)” bija plānots 4 000 000 </w:t>
            </w:r>
            <w:r w:rsidR="00000000" w:rsidRPr="00000000" w:rsidDel="00000000">
              <w:rPr>
                <w:i w:val="1"/>
                <w:rtl w:val="0"/>
              </w:rPr>
              <w:t xml:space="preserve">euro </w:t>
            </w:r>
            <w:r w:rsidR="00000000" w:rsidRPr="00000000" w:rsidDel="00000000">
              <w:rPr>
                <w:rtl w:val="0"/>
              </w:rPr>
              <w:t xml:space="preserve">un pasākumam “Ražotāju organizācijas augļu un dārzeņu sektorā” arī 4 000 000 </w:t>
            </w:r>
            <w:r w:rsidR="00000000" w:rsidRPr="00000000" w:rsidDel="00000000">
              <w:rPr>
                <w:i w:val="1"/>
                <w:rtl w:val="0"/>
              </w:rPr>
              <w:t xml:space="preserve">euro</w:t>
            </w:r>
            <w:r w:rsidR="00000000" w:rsidRPr="00000000" w:rsidDel="00000000">
              <w:rPr>
                <w:rtl w:val="0"/>
              </w:rPr>
              <w:t xml:space="preserve">, attiecīgi lūdzam anotācijas 3.sadaļā sniegt skaidrojumu, kāpēc noteikumu projektā paredzētais atbalsts atšķiras no iepriekš sniegtās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4.sadaļas 4.1.1. punktā sniegto informāciju, jo saskaņā ar Lauksaimniecības un lauku attīstības likuma pārejas noteikumu 27. punktā noteikto ar 2023. gada 1. janvāri spēku zaudē arī  Ministru kabineta 2013. gada 5. februāra noteikumi Nr. 80 "Piena un piena produktu ražotāju organizāciju atzīšanas un to darbības uzraudzības kārtība" un  Ministru kabineta 2008. gada 4. novembra noteikumi Nr. 921 "Noteikumi par augļu un dārzeņu ražotāju grupu atzīšanu, to darbības nosacījumiem un kontroli, kā arī kārtību, kādā piešķir, administrē un uzrauga valsts un Eiropas Savienības atbalstu augļu un dārzeņu ražotāju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22-TA-3549</w:t>
    </w:r>
    <w:r>
      <w:br/>
    </w:r>
    <w:r w:rsidR="00000000" w:rsidRPr="00000000" w:rsidDel="00000000">
      <w:rPr>
        <w:rtl w:val="0"/>
      </w:rPr>
      <w:t xml:space="preserve">Izdrukāts 02.01.2023.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22-TA-3549</w:t>
    </w:r>
    <w:r>
      <w:br/>
    </w:r>
    <w:r w:rsidR="00000000" w:rsidRPr="00000000" w:rsidDel="00000000">
      <w:rPr>
        <w:rtl w:val="0"/>
      </w:rPr>
      <w:t xml:space="preserve">Izdrukāts 02.01.2023.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Atzinumi_22-TA-3549.docx</dc:title>
</cp:coreProperties>
</file>

<file path=docProps/custom.xml><?xml version="1.0" encoding="utf-8"?>
<Properties xmlns="http://schemas.openxmlformats.org/officeDocument/2006/custom-properties" xmlns:vt="http://schemas.openxmlformats.org/officeDocument/2006/docPropsVTypes"/>
</file>