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23-TA-3281: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Sieviešu un vīriešu vienlīdzīgu tiesību un iespēju veicināšanas plānu 2024.-2027.gadam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Sieviešu un vīriešu vienlīdzīgu tiesību un iespēju veicināšanas plāns 2024.-2027.gadam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 ir atbildīgā institūcija par ES Dzimumu līdztiesības rīcības plāna (GAP III) ieviešanu Latvijā, regulāri sniedzot atskaiti par plāna noteikto prasību izpildi. Šis ir papildu pienākums, kas neiziet no Ārlietu ministrijas kompetences ikdienā strādājot ar attīstības sadarbības politikas jautājumiem. Lūdzam papildināt Plāna 11. punktu sadaļā “Rezultatīvie rādītāji”, pievienojot tai jaunu rindu. Attiecīgi būtu jāpapildina arī jaunās rindas sadaļas "Atbildīgā institūcija" un "Īstenošanas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Nodrošināta</w:t>
            </w:r>
            <w:r w:rsidR="00000000" w:rsidRPr="00000000" w:rsidDel="00000000">
              <w:rPr>
                <w:rtl w:val="0"/>
              </w:rPr>
              <w:t xml:space="preserve"> ES Dzimumu līdztiesības rīcības plāna (GAP III) ieviešana, atskaišu iesniegšana par plāna darbības izpildi Latvijā.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Atbildīgā institūcija: 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Īstenošanas termiņš: 2026. gada 2. ceturksnis.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Elīza Lazdiņa (ĀM)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23-TA-3281</w:t>
    </w:r>
    <w:r>
      <w:br/>
    </w:r>
    <w:r w:rsidR="00000000" w:rsidRPr="00000000" w:rsidDel="00000000">
      <w:rPr>
        <w:rtl w:val="0"/>
      </w:rPr>
      <w:t xml:space="preserve">Izdrukāts 12.04.2024. 15.21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23-TA-3281</w:t>
    </w:r>
    <w:r>
      <w:br/>
    </w:r>
    <w:r w:rsidR="00000000" w:rsidRPr="00000000" w:rsidDel="00000000">
      <w:rPr>
        <w:rtl w:val="0"/>
      </w:rPr>
      <w:t xml:space="preserve">Izdrukāts 12.04.2024. 15.21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Atzinumi_23-TA-3281.docx</dc:title>
</cp:coreProperties>
</file>

<file path=docProps/custom.xml><?xml version="1.0" encoding="utf-8"?>
<Properties xmlns="http://schemas.openxmlformats.org/officeDocument/2006/custom-properties" xmlns:vt="http://schemas.openxmlformats.org/officeDocument/2006/docPropsVTypes"/>
</file>