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tas atzīts par vainīgu terorismā, terorisma finansēšanā, aicinājumā uz terorismu, terorisma draudos vai personas vervēšanā un apmācībā terora aktu izdarīšanai;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pantā lietoto terminoloģiju, aizstāt projekta 63.1.apakšpunktā vārdus "un apmācībā terora aktu izdarīšanai" ar vārdiem "apmācīšanā un apmācīšanos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63.4.1. kukuļņemšana, kukuļdošana, kukuļa piesavināšanās, starpniecība kukuļošanā, neatļauta labuma pieņemšana vai komerciāla uzpirkšana;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Krimināllikumā 198.pantā lietoto terminoloģiju, aizstāt projekta 63.4.1.apakšpunktā vārdu "labuma" ar vārdu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63.5.2. personas nodarbināšanā bez rakstveidā noslēgta darba līguma, nodokļu normatīvajos aktos noteiktajā termiņā par šo personu neiesniedzot informatīvo deklarāciju par darba ņēmēju, kad tas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(sk. Satversmes tiesas 2010.gada 20.decembra sprieduma lietā Nr. 2010-44-01 11.punktu). Tiesību normas izdevēja pienākums ir rūpēties par to, lai tiesību norma tiktu formulēta tik nepārprotami, ka to varētu pareizi interpretēt un piemērot, bet indivīds varētu apzināties tās piemērošanas tiesiskās sekas (sk. Satversmes tiesas 2010.gada 19.jūnija sprieduma lietā Nr. 2010-02-01 9.4.2.punktu un 2011.gada 11.maija sprieduma lietā Nr. 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63.5.2.apakšpunktā ir ietverti divi dažādi administratīvie pārkāpumi (Darba likuma 158. pants un likuma "Par nodokļiem un nodevām" 142.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precizēt projekta 63.5.2.apakšpunktu, nodalot attiecīgos pārkāpumus divās atsevišķās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09.02.2023.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09.02.2023.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Atzinumi_22-TA-3069.docx</dc:title>
</cp:coreProperties>
</file>

<file path=docProps/custom.xml><?xml version="1.0" encoding="utf-8"?>
<Properties xmlns="http://schemas.openxmlformats.org/officeDocument/2006/custom-properties" xmlns:vt="http://schemas.openxmlformats.org/officeDocument/2006/docPropsVTypes"/>
</file>