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LOSP lūdz norādīt korektu ogļūdeņražu ieguves terminoloģiju 156) pantā un svītrot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ES saimniecisko darbību statistiskajā klasifikācijā  (NACE: Saimniecisko darbību statistiskā klasifikācija Eiropas Kopienā, 2. redakcija) kopā noteiktas 615 saimniecisko darbību klases, kuras reģistrējot norāda komersanti, kas veic saimniecisko darbību ar mērķi gūt peļņu kā to nosaka Komerclikums. Tāpēc nav jādublē un atsevišķi katrai darbībai citos normatīvajos aktos atkārtoti nav jānorāda komerclikumā un ES saimniecisko darbību statistiskajā klasifikācijā jau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ogļūdeņražu ieguve — ogļūdeņražu atdalīšana no to dabiskās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LOSP uztur arī iepriekš sniegto atzinumu, tai skaitā norāda uz problemātiku Likumprojekta 9.panta 1.daļas 6.punktā. Iespējams, sadalījums starp izpēti un ieguvi izskaidro to, kāpēc Latvijā nenotiek ogļūdeņražu izpēte un ieguve.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ieguvei - uz laiku līdz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var secināt, ka tas diemžēl neveicinās zemes dzīļu apsaimniekošanu. Likumprojekta 10 panta papildināšana ar 1.1 daļu var radīt situācijas, kad neizvērtējot parkāpuma būtību juridiskās vai fiziskās personas var tikt sodītas dubultā. Likumprojekta redakcija kopumā norāda uz zemes dzīļu apsaimniekošanas regulējuma represīvo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10.pants (11)daļu, atstāt spēkā esošo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noteiktam iestādes pienākumam izvērtēt katru gadījumu, kad ir lemjams jautājums par zemes dzīļu izmantošanas ierobežošanu vai apturēšanu un šī iemesla dēļ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likuma “Par zemes dzīlēm” 16.panta sestajā daļā vārdu “neaptur” ar vārdu “aptur”. Ogļūdeņražu ieguves urbumu darbības specifika ir nepārtrauktība.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aptur šā lēmuma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