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Personas datu pārlūkošanas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(Novērtējums par ietekmi uz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Pakalpojuma pieprasīšanas drošības auditācijas pierakstus Pakalpojuma tehniskā risinājuma pārzinis glabā 18 mēnešus no ieraksta izdarīšanas brīža. Personai ir tiesības pieprasīt Portāla pārzinim pakalpojuma ietvaros izveidotos auditācijas pierakstus par pēdējiem diviem gadiem atbilstoši normatīvajos aktos noteiktajam par fizisko personu datu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nosaka, ka pakalpojuma pieprasīšanas auditācijas pierakstus Portāla pārzinis glabā </w:t>
            </w:r>
            <w:r w:rsidR="00000000" w:rsidRPr="00000000" w:rsidDel="00000000">
              <w:rPr>
                <w:b w:val="1"/>
                <w:rtl w:val="0"/>
              </w:rPr>
              <w:t xml:space="preserve">18 mēnešus</w:t>
            </w:r>
            <w:r w:rsidR="00000000" w:rsidRPr="00000000" w:rsidDel="00000000">
              <w:rPr>
                <w:rtl w:val="0"/>
              </w:rPr>
              <w:t xml:space="preserve"> no ieraksta izdarīšanas brīža, savukārt personai ir tiesības pieprasīt Portāla pārzinim pakalpojuma ietvaros izveidotos auditācijas pierakstus par pēdējiem </w:t>
            </w:r>
            <w:r w:rsidR="00000000" w:rsidRPr="00000000" w:rsidDel="00000000">
              <w:rPr>
                <w:b w:val="1"/>
                <w:rtl w:val="0"/>
              </w:rPr>
              <w:t xml:space="preserve">diviem gadiem </w:t>
            </w:r>
            <w:r w:rsidR="00000000" w:rsidRPr="00000000" w:rsidDel="00000000">
              <w:rPr>
                <w:rtl w:val="0"/>
              </w:rPr>
              <w:t xml:space="preserve">normatīvajos aktos noteiktajam par fizisko personu datu apstrādi. Atbilstoši Fizisko personu datu apstrādes likuma 37. panta trešajai daļai pārzinim ir tiesības nesniegt datu subjektam datu regulas 15. pantā minēto informāciju, ja tā rīcībā vairs nav auditācijas pierakstu, kuros pieejama datu subjekta pieprasītā informācija. Ja Portāla pārzinis glabā datus 18 mēnešus, tad personai ir tiesības pieprasīt auditācijas pierakstus par pēdējiem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Noteikumu projektu, lai tiesību normā nav konstatējamas pretrunas.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12.12.2023.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12.12.2023.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Atzinumi_23-TA-1864.docx</dc:title>
</cp:coreProperties>
</file>

<file path=docProps/custom.xml><?xml version="1.0" encoding="utf-8"?>
<Properties xmlns="http://schemas.openxmlformats.org/officeDocument/2006/custom-properties" xmlns:vt="http://schemas.openxmlformats.org/officeDocument/2006/docPropsVTypes"/>
</file>