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plānošanas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finansējums ir 1 803 436 </w:t>
            </w:r>
            <w:r w:rsidR="00000000" w:rsidRPr="00000000" w:rsidDel="00000000">
              <w:rPr>
                <w:i w:val="1"/>
                <w:rtl w:val="0"/>
              </w:rPr>
              <w:t xml:space="preserve">euro</w:t>
            </w:r>
            <w:r w:rsidR="00000000" w:rsidRPr="00000000" w:rsidDel="00000000">
              <w:rPr>
                <w:rtl w:val="0"/>
              </w:rPr>
              <w:t xml:space="preserve"> (tai skaitā elastības finansējuma apjoms 118 449</w:t>
            </w:r>
            <w:r w:rsidR="00000000" w:rsidRPr="00000000" w:rsidDel="00000000">
              <w:rPr>
                <w:i w:val="1"/>
                <w:rtl w:val="0"/>
              </w:rPr>
              <w:t xml:space="preserve"> euro</w:t>
            </w:r>
            <w:r w:rsidR="00000000" w:rsidRPr="00000000" w:rsidDel="00000000">
              <w:rPr>
                <w:rtl w:val="0"/>
              </w:rPr>
              <w:t xml:space="preserve">), tai skaitā Taisnīgas pārkārtošanās fonda finansējums 1 532 920 </w:t>
            </w:r>
            <w:r w:rsidR="00000000" w:rsidRPr="00000000" w:rsidDel="00000000">
              <w:rPr>
                <w:i w:val="1"/>
                <w:rtl w:val="0"/>
              </w:rPr>
              <w:t xml:space="preserve">euro</w:t>
            </w:r>
            <w:r w:rsidR="00000000" w:rsidRPr="00000000" w:rsidDel="00000000">
              <w:rPr>
                <w:rtl w:val="0"/>
              </w:rPr>
              <w:t xml:space="preserve"> (tai skaitā elastības finansējuma apjoms 100 682 </w:t>
            </w:r>
            <w:r w:rsidR="00000000" w:rsidRPr="00000000" w:rsidDel="00000000">
              <w:rPr>
                <w:i w:val="1"/>
                <w:rtl w:val="0"/>
              </w:rPr>
              <w:t xml:space="preserve">euro</w:t>
            </w:r>
            <w:r w:rsidR="00000000" w:rsidRPr="00000000" w:rsidDel="00000000">
              <w:rPr>
                <w:rtl w:val="0"/>
              </w:rPr>
              <w:t xml:space="preserve">) un valsts budžeta līdzfinansējums  270 516 </w:t>
            </w:r>
            <w:r w:rsidR="00000000" w:rsidRPr="00000000" w:rsidDel="00000000">
              <w:rPr>
                <w:i w:val="1"/>
                <w:rtl w:val="0"/>
              </w:rPr>
              <w:t xml:space="preserve">euro </w:t>
            </w:r>
            <w:r w:rsidR="00000000" w:rsidRPr="00000000" w:rsidDel="00000000">
              <w:rPr>
                <w:rtl w:val="0"/>
              </w:rPr>
              <w:t xml:space="preserve">(tai skaitā elastības finansējuma apjoms 17 767 </w:t>
            </w:r>
            <w:r w:rsidR="00000000" w:rsidRPr="00000000" w:rsidDel="00000000">
              <w:rPr>
                <w:i w:val="1"/>
                <w:rtl w:val="0"/>
              </w:rPr>
              <w:t xml:space="preserve">euro</w:t>
            </w:r>
            <w:r w:rsidR="00000000" w:rsidRPr="00000000" w:rsidDel="00000000">
              <w:rPr>
                <w:rtl w:val="0"/>
              </w:rPr>
              <w:t xml:space="preserve">). Maksimālais Taisnīgas pārkārtošanās fonda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10.punktu ar pieejamā finansējuma apmēru, ņemot vērā noteikumu projektu 11.punktā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papildināt arī noteikumu projekta 1.3.apakšpunktu ar norādi par “plānoto finansējumu”, ņemot vērā noteikumu projekta 10. un 11.punktā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Regulas Nr. 2021/1060 53. panta 2. punktā noteiktajam, darbības vai projekti, kas ir daļa no darbības, kuri saņem atbalstu no TPF, KF, ERAF vai ESF+ un kuru kopējās izmaksas nepārsniedz EUR 200 000, visas izmaksas tiek segtas ar vienu vienību, fiksētās summas maksājumu vai vienoto likmju veidā, izņemot darbības, kurām atbalsts kvalificējams kā komercdarbības (izņemot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iekļaut atsauci noteikumu projekta 21.4.1. apakšpunktā uz Finanšu ministrijas metodiku “Vienas vienības izmaksu standarta likmes aprēķina un piemērošanas metodika 1 km izmaksām darbības programmas “Izaugsme un nodarbinātība” un Eiropas Savienības kohēzijas politikas programmas 2021.–2027.gadam  īstenošanai” un Finanšu ministrija metodiku “Vienas vienības izmaksu standarta likmes aprēķina un piemērošanas metodika iekšzemes komandējumu izmaksām darbības programmas “Izaugsme un nodarbinātība” un Eiropas Savienības kohēzijas politikas programmas 2021.–2027.gadam īstenošanai” (ja attiecināms), kā arī papildināt, vai plānoti tikai iekšzemes vai arī ārvalstu (ES dalībvalstis) ceļošanas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tiešās attiecināmās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  55. panta 1. punktu projekta iesniegumā plāno kā vienu izmaksu pozīciju, piemērojot izmaksu vienoto likmi 20 procentu apmērā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projekta pārējām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no Vides aizsardzības un reģionālās attīstības ministrijas (VARAM) 25.04.2023. saņemto e-pastu ar lūgumu saskaņot vienotās likmes piemērošanu projekta vadības personālam 20% apmērā no pārējām tiešajām attiecināmajām izmaksām, minētais pamatojums vēl ir izskatīšanas stadijā un attiecīgais procentu īpatsvars vēl nav saskaņots. Līdz ar to attiecīgā procenta likšanu  noteikumu projektā varēsim saskaņot, tiklīdz izskatīsim VARAM atsūtīto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2022.gada 25.augusta vadlīniju Nr. 1.2. "Vadlīnijas attiecināmo izmaksu noteikšanai Eiropas Savienības kohēzijas politikas programmas 2021.-2027.gada plānošanas periodā" 33.punktam daļlaika izmaksu attiecināšanas principa gadījumā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noteikumu projekta 21.3.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nodoklis, kas tiešā veidā saistīts ar projektu, uzskatāms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norādot, ka tiks nodrošināts dubultā finansējuma novēršanas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īstenošanas gaitā radušās sadārdzinājuma izmaksas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25.punktu, ņemot vērā, ka finansējuma saņēmējs ir valsts pārvaldes iestāde un attiecīgi sadārdzinājuma izmaksas netiek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ietekmes novērtējumu uz horizontālajiem principiem "Klimatdrošināšana”,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jaunu punktu, ka pasākuma ietvaros atbalstu piešķir granta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atbalstu piešķir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Taisnīgas pārkārtošanās fonda projekta (turpmāk – projekts) iesniedzējam 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norādi, ka tiek noteikti nosacījumi arī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mērķa grupa ir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minētie reģioni un to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6.punktā skaidrāk noteikt pasākumā plānoto mērķa grupu, lai potenciālie projekta pasākumu dalībnieki varētu identificēt savu kvalificēšanos mērķa grupai, ņemot vērā noteikumu projektā paredzētos pasākumus, kuru ietvaros labuma guvēji ir pašvaldību un plānošanas reģionu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minētais rezultāta rādītājs ir sasniegts, kad vismaz četrdesmit astoņi pārstāvji no katra pasākuma ietvaros atbalstāmā reģiona vai tā pašvaldības ir piedalījušies vismaz vienā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minētajā programmā, iesniedzot  sadarbības iestādē dalību apliecinošu reģistrācijas veidlapu vai citu dalību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iekļaujot nosacījumu "vismaz četrdesmit astoņi pārstāvji no katra pasākuma ietvaros atbalstāmā reģiona [..]" plānotā rādītāja sasniedzamā vērtība ir 192 speciālisti, kas pārsniedz noteikumu projekta 7.2.apakšpunktā norādīto sasniedzamo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rādītāja vērtības, ko plānots sasniegt par  noteikumu projekta 10. punktā noteikto elastības finansējumu - vismaz 12 speciālisti, būtu jānorāda arī dalījumā pa pasākuma ietvaros atbalstāmiem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nodaļu ar finansējuma saņēmēju, ņemot vērā, ka nodaļā noteiktas prasības arī finansējuma saņēmējam, vai izvērtēt iespēju pārnest noteikumu projekta 17.punktu uz citu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projekta iesniegumam pievieno apliecinājumu par sadarbību, kā arī trīs mēnešu laikā no vienošanās par projekta īstenošanu noslēgšanas noslēdz sadarbības līgumu, kurā noteikti pušu pienākumi, tiesības un atbildība projekta mērķa un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14.punktu, lai tajā ietvertais regulējums nedublē Ministru kabineta noteikumu "Kārtība, kādā Eiropas Savienības fondu vadībā iesaistītās institūcijas nodrošina šo fondu ieviešanu 2021.–2027.gada plānošanas periodā" (šobrīd saskaņošanas stadijā) 6.punktu, kas nosaka pamatinformāciju, kas jāiekļauj finansējuma saņēmēja un sadarbības partnera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uzkrāj datus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pasākuma ietvaros paredzēts uzkrāt personas datus saskaņā ar Eiropas Parlamenta un Padomes 2021. gada 24. jūnija Regulas (ES) Nr. 2021/1056, ar ko izveido Taisnīgas pārkārtošanās fondu III pielikumu. Nepieciešamības gadījumā lūdzam papildināt noteikumu projektu ar atsauci uz minētās regulas III pielikumu un Ministru kabineta 2023.gada 21.marta noteikumu Nr.135 "Eiropas Savienības fondu projektu pārbaužu veikšanas kārtība 2021.–2027. gada plānošanas periodā"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tiešās attiecināmās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  55. panta 1. punktu projekta iesniegumā plāno kā vienu izmaksu pozīciju, piemērojot izmaksu vienoto likmi 20 procentu apmērā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projekta pārējām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21.1.apakšpunktā vārdus "tiešās attiecināmās" apakšpunkta sākumā, ņemot vērā, ka tas jau ir pateikts pie noteikumu projekta 21.punkta.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21.6.apakšpunktu redakcionāli precizēt uz "transporta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ar projekta darbībām tieši saistīto informācijas un publicitātes pasākumu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atsauci uz 18.4.apakšpunktu, kā arī atsauci uz saistošajiem normatīvajiem aktiem, atbilstoši kuram īsteno šo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īsteno sociāli atbildīgu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iekļaut noteikumu projektā prasību, ka finansējuma saņēmējs pārliecinās par interešu konflikta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krāpšanas un korupcijas risku neesamību, tai skaitā, īstenojot projektu, paraksta apliecinājumu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sociāli atbildīga publiskā iepirkuma un inovatīva publiskā iepirkuma nosacījumu piemērošanas iekļaušanu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"Noteikumu projekta 21.1. apakšpunktā norādītais projekta vadības un īstenošanas personāls projekta ietvaros nodrošinās projekta administratīvās, organizatoriskās un koordinējošās funkcijas (piemēram, projekta vadītājs, vecākais eksperts, iepirkumu speciālists),....." lūdzam konkretizēt, kuras tieši amatu kategorijas, izslēdzot vārdu “piemēram”.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"Administratīvā sloga mazināšanai projekta vadības un īstenošanas personāla izmaksu nodrošināšanai tiek piemērota personāla atlīdzības likme 20 % apmērā no noteikumu projekta 21. punktā minētajām pārējām tiešajām attiecināmajām izmaksām...." lūdzam uzskaitīt konkrētas amatu kategorijas, kuras tiks segtas no 20% vienotās likmes, lai izvairītos no dubultā finansējuma riska.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plānotā pasākuma ietvaros netiks veikta saimnieciskā darbība un ka nav jāveic pasākumā plānoto darbību izvērtējums atbilstoši komercdarbības atbalsta kontroles normām, jo finansējuma saņēmējs ir VARAM, kas ir tiešās valsts pārvaldes iestāde un tā pasākuma ietvaros neveiks saimniecisko darbību; attiecībā uz VARAM nav papildus komentāru komercdarbības atbalsta kontroles kontekstā. Taču pasākums plānots pašvaldību un plānošanas reģionu speciālistu prasmju paaugstināšanai, reģioni tiks piesaistīti kā sadarbības partneri, līdz ar to lūdzam papildināt anotāciju ar izvērtējumu komercdarbības atbalsta kontroles kontekstā arī attiecībā uz plānošanas reģioniem un pašvaldībām kā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anotācijas 2. sadaļu "Tiesību akta projekta ietekmējamās sabiedrības grupas, ietekme uz tautsaimniecības attīstību un administratīvo slogu" ar skaidrāku fokusu  uz pasākumā plānoto investīciju pienesumu tautsaimniecībai, norādot pēc iespējas izmērāmus rādītājus, kā arī novērtējot konkrētus aspektus par plānoto ieguldījumu sagaidāmo ietekmi un efektivitāti, t.sk. faktiski sagaidāmos rezultātus pēc investīciju īstenošanas, ņemot vērā Finanšu ministrijas 2023.gada vēstulē Nr. 5.1-24/21/ 1076 “Par Eiropas Savienības fondu un Atveseļošanas fonda investīciju pienesumu tautsaimniecībai” ietverto aicinājumu. Vēršam uzmanību,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