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fondu tematiskās komitejas 2026. gada 6. augusta sēdes protokola Nr. 1 2.§ 2. punktā noteikto, kurš nosaka, ka nozaru ministrijām jāiesniedz Finanšu ministrijā papildu informāciju par visiem pieteiktajiem finansējuma pieprasījuma vai pārdaļu priekšlikumiem, lūdzam Kultūras ministrijai virzīt priekšlikumus par finansējuma pārdalēm izskatīšanai un lēmuma pieņemšanai nākošajā Eiropas Savienības fondu tematiskās komitejas 2026. gada sēdē, vai arī tās saskaņot Sadarbības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finansējuma pārdales priekšlikumu saistīto noteikumu projektu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(turpmāk – 5.1.1.5.pasākums)) virzība apstiprināšanai Ministru kabinetā (turpmāk – MK) ir atbalstāma tikai pēc tam, kad par to ir saņemts politisks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var tikt īstenoti projekti, kam atbalsta sniegšana specifiskā atbalsta mērķa ietvaros nav kvalificējama kā komercdarbības atbalsts, un tādi projekti, kam atbalsta sniegšana ir kvalificējama kā komercdarbības atbalsts, un atbalsts tad tiek sniegts atbilstoši </w:t>
            </w:r>
            <w:r w:rsidR="00000000" w:rsidRPr="00000000" w:rsidDel="00000000">
              <w:rPr>
                <w:i w:val="1"/>
                <w:rtl w:val="0"/>
              </w:rPr>
              <w:t xml:space="preserve">Komisijas 2014. gada 17. jūnija Regulas (ES) Nr. 651/2014, ar ko noteiktas atbalsta kategorijas atzīst par saderīgām ar iekšējo tirgu, piemērojot Līguma 107. un 108. pantu</w:t>
            </w:r>
            <w:r w:rsidR="00000000" w:rsidRPr="00000000" w:rsidDel="00000000">
              <w:rPr>
                <w:rtl w:val="0"/>
              </w:rPr>
              <w:t xml:space="preserve"> 53. pantam. Ņemot vērā, ka ar grozījumiem tiek palielināts finansējums jau īstenošanā esošiem projektiem Lielās ģildes un izstāžu zāles "Arsenāls" pilnvērtīgai darbībai un nav skaidrs, vai tiem un to sadarbības partneriem piešķirtais atbalsts ir kvalificējams kā komercdarbības atbalsts, vai nē, lūdzam anotācijas 1.3. “Pašreizējā situācija, problēmas un risinājumi” sadaļā (turpmāk – 1.3. sadaļa) iekļaut attiecīgu informāciju, t.sk., skaidrojumu komercdarbības atbalsta kontekstā, proti, vai pasākuma ietvaros jauns atbalsts tiek piešķirts tādiem projektiem, kam tiek piemērots iepriekšminētais valsts atbalsta regulējums, kā arī papildināt noteikumu projektu ar normām, kas nosaka atbalsta saņēmēja un atbalsta sniedzēja rīcību šādā gadījumā komercdarbības atbalsta kontekstā. Papildus vēršam uzmanību, ka ar grozījumiem tiek paredzēts atbalsta programmas finansējuma palielinājums par vairāk nekā 20 % no sākotnēji Eiropas Komisijai iesniegtajā kopsavilkuma informācijā norādītās summas, un gadījumā, ja tiks secināts, ka projektiem atbalsts tiek piešķirts kā komercdarbības atbalsts, lūdzam papildināt anotācijas 5.3.sadaļu “Cita informācija” ar informāciju, ka Kultūras ministrija 20 darba dienu laikā pēc noteikumu projekta spēkā stāšanās nosūtīs kopsavilkuma informāciju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ministrijai informēt Ministru kabinetu par turpmāko rīcību gadījumā, ja Eiropas Komisija neatbalsta Eiropas Savienības kohēzijas politikas programmas 2021.–2027. gadam grozījumu priekšlikumus, kas saistīti ar 5.1.1.5. pasākuma "Unikāla Eiropas mēroga kultūras mantojuma atjaunošana, lai veicinātu to piekļūstamību, attīstot kultūras pakalpojumus" pieejamā finansējuma apmēra precizēšanu.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ietverta informācija, ka šobrīd vēl nav zināms vai Eiropas Komisija atbalstīs finansējuma precizēšanu 5.1.1.5. pasākumam "Unikāla Eiropas mēroga kultūras mantojuma atjaunošana, lai veicinātu to piekļūstamību, attīstot kultūras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atbalstāma tādu MK noteikumu projektu un jaunu pasākumu turpmāka virzība par kuru īstenošanu nav sniegts skaidrs Eiropas Komisijas atbalsts un kas potenciāli var radīt nelimitētas saistības valsts budžetam. Līdz ar to, lai neradītu riskus valsts budžetam Ministru kabineta sēdes protokollēmuma projekta 3.punkts ir izsakāms šādā redakcijā: “3. Ja Eiropas Komisija neatbalsta Eiropas Savienības kohēzijas politikas programmas 2021.–2027. gadam grozījumu priekšlikumus, kas saistīti ar 5.1.1.5. pasākuma "Unikāla Eiropas mēroga kultūras mantojuma atjaunošana, lai veicinātu to piekļūstamību, attīstot kultūras pakalpojumus" pieejamā finansējuma apmēra precizēšanu, Kultūras ministrijai sagatavot un kultūras ministram iesniegt izskatīšanai Ministru kabinetā informatīvo ziņojumu ar fiskāli neitrāliem priekšlikumiem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izvērstāku noteikumu projektā ietverto grozījumu mērķi uz būtību, pamatojot plānoto darbību apjoma palielināšanu, tostarp nodrošinot aprīkojuma un iekārtu iegādi Lielajā ģildē. Lūdzam skaidrot, kāpēc, piemēram, jau sākotnēji netika ieplānotas Lielās ģildes pilnvērtīgai darbībai nepieciešamās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anotācijas 1.3. sadaļu ar informāciju, kādi argumenti tika vērtēti pieņemot lēmumu par Mākslas muzeja "Arsenāls" darbības uzsākšanai un nodrošināšanai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norādīto finansējuma pārdales apmēru, nodrošinot vienotu summu visā dokumentā. Anotācijā norādīts, ka pārdalāmais ERAF finansējums ir 4 350 933 euro, savukārt alternatīvo risinājumu sadaļā minēta summa 4 350 933,99 euro. Tā kā ES fondu finansējuma summas normatīvajos aktos un anotācijās parasti tiek norādītas veselos euro, lūdzam novērst neatbilstību un visā dokumentā lietot vienādu finansējuma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izvērtējumu par finansējuma pārdales no 4.3.2. specifiskā atbalsta mērķa “Kultūras un tūrisma lomas palielināšana ekonomiskajā attīstībā, sociālajā iekļaušanā un sociālajās inovācijās” (turpmāk – 4.3.2. SAM) uz 5.1.1.5. pasākumu ietekmi uz jau apstiprinātajiem un īstenošanā esošajiem 4.3.2. SAM projektiem (16 projektu īstenošana visā Latvijas teritorijā, kuriem ieviešanas beigu datums lielākoties ir 2029.gada 31.decembris). Papildus lūdzam anotācijā skaidrot, kāda būs ietekme uz plānoto rezultātu sasniegšanu, kā arī vai finansējuma pārdale neietekmēs sasniedzamos iznākuma un rezultāta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norādot ES fondu finansējuma intervences kodus.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"Problēmas un apraksts" norādīto informāciju par Lielās ģildes pārbūves projektu, norādot, ka  "papildu finansējums nepieciešams atbilstoša </w:t>
            </w:r>
            <w:r w:rsidR="00000000" w:rsidRPr="00000000" w:rsidDel="00000000">
              <w:rPr>
                <w:b w:val="1"/>
                <w:rtl w:val="0"/>
              </w:rPr>
              <w:t xml:space="preserve">kultūras pakalpojuma sniegšanai nepieciešamo mēbeļu, aprīkojuma, iekārtu un cita materiāltehniskā nodrošinājuma iegādei un uzstādīšanai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"Problēmas un apraksts" norādīto informāciju par izstāžu zāles "Arsenāls" pārbūves projektu, norādot, ka: "nepieciešams finansējums ekspozīciju un izstāžu telpu sagatavošanai, pastāvīgās ekspozīcijas un izstāžu koncepciju īstenošanai, mākslas darbu iegādei, kā arī nepieciešamā mēbeļu aprīkojuma un iekārtu nodrošināšanai, </w:t>
            </w:r>
            <w:r w:rsidR="00000000" w:rsidRPr="00000000" w:rsidDel="00000000">
              <w:rPr>
                <w:b w:val="1"/>
                <w:rtl w:val="0"/>
              </w:rPr>
              <w:t xml:space="preserve">tostarp, zīmolvedībai un navigācijas izveidei muzejā, t.sk. piekļūstamības risinājumu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papildināt anotācijas 1.3.sadaļā "Risinājuma apraksts" norādīto informāciju: "Papildu finansējumu paredzēts novirzīt Lielās ģildes un izstāžu zāles"Arsenāls" projektu ietvaros nepieciešamo darbību īstenošanai, nodrošinot objektu funkcionālo gatavību, to darbībai nepieciešamo aprīkojumu </w:t>
            </w:r>
            <w:r w:rsidR="00000000" w:rsidRPr="00000000" w:rsidDel="00000000">
              <w:rPr>
                <w:b w:val="1"/>
                <w:rtl w:val="0"/>
              </w:rPr>
              <w:t xml:space="preserve">un mēbeles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papildināt anotācijas 1.3.sadaļā "Risinājuma apraksts" norādīto informāciju: "palielina jau plānoto darbību apjomu, tostarp nodrošinot nepieciešamo </w:t>
            </w:r>
            <w:r w:rsidR="00000000" w:rsidRPr="00000000" w:rsidDel="00000000">
              <w:rPr>
                <w:b w:val="1"/>
                <w:rtl w:val="0"/>
              </w:rPr>
              <w:t xml:space="preserve">mēbeļu,</w:t>
            </w:r>
            <w:r w:rsidR="00000000" w:rsidRPr="00000000" w:rsidDel="00000000">
              <w:rPr>
                <w:rtl w:val="0"/>
              </w:rPr>
              <w:t xml:space="preserve"> aprīkojuma, iekārtu </w:t>
            </w:r>
            <w:r w:rsidR="00000000" w:rsidRPr="00000000" w:rsidDel="00000000">
              <w:rPr>
                <w:b w:val="1"/>
                <w:rtl w:val="0"/>
              </w:rPr>
              <w:t xml:space="preserve">un cita materiāltehniskā nodrošinājuma</w:t>
            </w:r>
            <w:r w:rsidR="00000000" w:rsidRPr="00000000" w:rsidDel="00000000">
              <w:rPr>
                <w:rtl w:val="0"/>
              </w:rPr>
              <w:t xml:space="preserve"> iegādi </w:t>
            </w:r>
            <w:r w:rsidR="00000000" w:rsidRPr="00000000" w:rsidDel="00000000">
              <w:rPr>
                <w:b w:val="1"/>
                <w:rtl w:val="0"/>
              </w:rPr>
              <w:t xml:space="preserve">un uzstādīšanu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1.3.sadaļā "Problēmas un apraksts" norādīto informāciju: "d)33.4. apakšpunkts, paplašinot 5.1.1.5. pasākuma attiecināmo izmaksu loku un papildus jau attiecināmajām kultūras pakalpojumu izveides izmaksām paredzot arī kultūras pakalpojumu īstenošanas izmaksas </w:t>
            </w:r>
            <w:r w:rsidR="00000000" w:rsidRPr="00000000" w:rsidDel="00000000">
              <w:rPr>
                <w:b w:val="1"/>
                <w:rtl w:val="0"/>
              </w:rPr>
              <w:t xml:space="preserve">un</w:t>
            </w:r>
            <w:r w:rsidR="00000000" w:rsidRPr="00000000" w:rsidDel="00000000">
              <w:rPr>
                <w:rtl w:val="0"/>
              </w:rPr>
              <w:t xml:space="preserve"> </w:t>
            </w:r>
            <w:r w:rsidR="00000000" w:rsidRPr="00000000" w:rsidDel="00000000">
              <w:rPr>
                <w:b w:val="1"/>
                <w:rtl w:val="0"/>
              </w:rPr>
              <w:t xml:space="preserve">kultūras</w:t>
            </w:r>
            <w:r w:rsidR="00000000" w:rsidRPr="00000000" w:rsidDel="00000000">
              <w:rPr>
                <w:b w:val="1"/>
                <w:rtl w:val="0"/>
              </w:rPr>
              <w:t xml:space="preserve"> pakalpojumu izveides un īstenošanas pakalpojumu izstrādē, sagatavošanā, organizēšanā un nodrošināšanā iesaistītā finansējuma saņēmēja un sadarbības partnera personāla izmaksas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detalizētāk skaidrot, kas paredzēts zem atbalstāmās darbības “pakalpojuma īstenošanas”- kādas konkrēti darbības un izmaksas. Lūdzam arī skaidrot vai plānotās darbības nav jānodrošina iestāžu pamatfunkciju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attiecībā uz noteikumu projekta 36.5.apakšpunkta piemērošanu, lai nodrošinātu skaidru un nepārprotamu attiecināmo izmaksu tvērumu kultūras mantojuma pakalpojumu izveidei un īstenošanai. Kultūras pakalpojuma izveide un ieviešana ietver ne tikai satura radīšanu un nepieciešamā aprīkojuma nodrošināšanu, bet arī pakalpojuma popularizēšanas un sabiedrības informēšanas pasākumus, kas ir būtiski mērķauditorijas sasniegšanai un projekta rezultātu izmantošanai. Tāpat kultūras pakalpojumu nodrošināšanai nepieciešamais aprīkojums ietver arī specializētu aprīkojumu, tostarp mūzikas instrumentus, ja tie ir tieši saistīti ar kultūras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novērstu atšķirīgas interpretācijas iespējas attiecībā uz attiecināmajām izmaksām un nodrošinātu vienotu pieeju projektu sagatavošanā, vērtēšanā un īstenošanā. Grozījums nemaina atbalsta mērķi un būtību, bet konkretizē izmaksu veidus, kas nepieciešami kultūras mantojuma pakalpojumu izveidei, īstenošanai un pieejamības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norādīt, ka ar noteikumu projekta 36.5.punktā norādītajām izmaksām ir saprotamas arī kultūras pakalpojuma sniegšanai nepieciešamo mēbeļu, iekārtu un cita materiāltehniskā nodrošinājuma iegādes un uzstādīšanas izmaksas, tai skaitā instrumentu un mākslas eksponātu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noteikumu projekta ietekmi uz tautsaimniecību. Aicinām norādīt pēc iespējas izmērāmus rādītājus, kā arī novērtējot konkrētus aspektus par plānoto ieguldījumu sagaidāmo ietekmi un efektivitāti, t.sk. faktiski sagaidāmos rezultātus/uzlabojumus, ņemot vērā, ka 5.1.1.5.pasākuma sasniedzamajos rādītājos finansējuma izmaiņas netiek atspoguļotas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komunikācijas un vizuālās identitātes prasību nodrošināšanas pasākumi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33.6.apakšpunktu jaunā redakcijā, lai nodrošinātu iespēju finansēt ne tikai Eiropas Savienības fondu komunikācijas un vizuālās identitātes prasību izpildi, bet arī jauno kultūras pakalpojumu ieviešanai nepieciešamos sabiedrības informēšanas, komunikācijas un auditorijas piesaistes pasākumus. Kultūras pakalpojumu pieejamības veicināšanai un mērķauditorijas sasniegšanai ir nepieciešams nodrošināt arī ekspozīciju, izstāžu un citu jaunizveidotu kultūras pakalpojumu atvēršanas komunikāciju, popularizēšanu un mārketinga aktivitātes. Grozījums nemaina atbalstāmo darbību mērķi, bet precizē ar jaunu kultūras pakalpojumu izveidi un īstenošanu saistīto komunikācijas pasākumu attiecināmību.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komunikācijas un vizuālās identitātes prasību nodrošināšanas pasākumi par projekta īstenošanu, kā arī jaunu kultūras pakalpojumu izveides un īstenošanas ietvaros veiktie komunikācijas, mārketinga, sabiedrības informēšanas un auditorijas piesaistes pasākumi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26-TA-2181</w:t>
    </w:r>
    <w:r>
      <w:br/>
    </w:r>
    <w:r w:rsidR="00000000" w:rsidRPr="00000000" w:rsidDel="00000000">
      <w:rPr>
        <w:rtl w:val="0"/>
      </w:rPr>
      <w:t xml:space="preserve">Izdrukāts 22.09.2026.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26-TA-2181</w:t>
    </w:r>
    <w:r>
      <w:br/>
    </w:r>
    <w:r w:rsidR="00000000" w:rsidRPr="00000000" w:rsidDel="00000000">
      <w:rPr>
        <w:rtl w:val="0"/>
      </w:rPr>
      <w:t xml:space="preserve">Izdrukāts 22.09.2026.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Atzinumi_26-TA-2181.docx</dc:title>
</cp:coreProperties>
</file>

<file path=docProps/custom.xml><?xml version="1.0" encoding="utf-8"?>
<Properties xmlns="http://schemas.openxmlformats.org/officeDocument/2006/custom-properties" xmlns:vt="http://schemas.openxmlformats.org/officeDocument/2006/docPropsVTypes"/>
</file>