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28. aprīļa noteikumos Nr. 207 "Darbības programmas "Izaugsme un nodarbinātība" 7.2.1.specifiskā atbalsta mērķa "Palielināt nodarbinātībā, izglītībā vai apmācībās neiesaistītu jauniešu nodarbinātību un izglītības ieguvi Jauniešu garantijas ietvaros" pasākumu "Aktīvās darba tirgus politikas pasākumu īstenošana jauniešu bezdarbnieku nodarbinātības veicināšanai" un "Sākotnējās profesionālās izglītības programmu īstenošana Jauniešu garantijas ietvaros"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vai attiecīgie MK noteikumu grozījumi nav uzskatāmi par būtiskiem Eiropas Parlamenta un Padomes 2013. gada 17.decembra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iespējams nodrošināt finansējuma datu ievadi Kohēzijas politikas fondu vadības informācijas sistēmā, lūdzam anotācijā norādīt pieejamā kopējā attiecināmā finansējuma indikatīvo sadalījumu pa finansējuma avotiem (JNI, ESF, privātā līdzfinansējuma un VB summas) 7.2.1.1. un 7.2.1.2. pasākumu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"Risinājuma apraksts" precizēt attiecīgo teikumu redakcijas attiecībā uz individuālā mentora un/vai personiskās izaugsmes trenera vienas vienības izmaksu standarta likmi,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nenorādot anotācijā konkrēto stundas likmi/mēneša apmēru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papildinot ar informāciju, ka stundas likme tiek noteikta saskaņā ar metodiku, kas tiek skaņota ar Vadošo iestādi.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w:t>
            </w:r>
            <w:r w:rsidR="00000000" w:rsidRPr="00000000" w:rsidDel="00000000">
              <w:rPr>
                <w:rtl w:val="0"/>
              </w:rPr>
              <w:t xml:space="preserve">19.1.1.</w:t>
            </w:r>
            <w:r w:rsidR="00000000" w:rsidRPr="00000000" w:rsidDel="00000000">
              <w:rPr>
                <w:rtl w:val="0"/>
              </w:rPr>
              <w:t xml:space="preserve"> apakšpunktā minētās tiešās personāla izmaksas ietver finansējuma saņēmēja projektu īstenošanas personāla izmaksas un finansējuma saņēmēja vadības personāla atlīdzības izmaksas atbilstoši Valsts un pašvaldību institūciju amatpersonu un darbinieku atlīdzības likumam, izņemot virsstundas. Ja personāla iesaiste projektā ir nodrošināta saskaņā ar daļlaika attiecināmības principu, attiecināma ir ne mazāka kā 30 procentu noslodze. Ja projekta īstenošanas vai vadības personāls ir iesaistīts Valsts izglītības attīstības aģentūras īstenotajā darbības programmas "Izaugsme un nodarbinātība" 8.4.1. specifiskā atbalsta mērķa "Pilnveidot nodarbināto personu profesionālo kompetenci" projektā un tā pienākumi ir vienādi ar pasākumā "Sākotnējās profesionālās izglītības programmu īstenošana Jauniešu garantijas ietvaros" paredzētajiem, personāla atlīdzības apmēru katrā projektā nosaka atbilstoši mērķa grupas proporcijai. Šo noteikumu </w:t>
            </w:r>
            <w:r w:rsidR="00000000" w:rsidRPr="00000000" w:rsidDel="00000000">
              <w:rPr>
                <w:rtl w:val="0"/>
              </w:rPr>
              <w:t xml:space="preserve">19.1.1.</w:t>
            </w:r>
            <w:r w:rsidR="00000000" w:rsidRPr="00000000" w:rsidDel="00000000">
              <w:rPr>
                <w:rtl w:val="0"/>
              </w:rPr>
              <w:t xml:space="preserve"> apakšpunktā minētajās izmaksās netiek ietvertas šo noteikumu 22.10.1., 22.10.2., 22.13.</w:t>
            </w:r>
            <w:r w:rsidR="00000000" w:rsidRPr="00000000" w:rsidDel="00000000">
              <w:rPr>
                <w:vertAlign w:val="superscript"/>
                <w:rtl w:val="0"/>
              </w:rPr>
              <w:t xml:space="preserve">1</w:t>
            </w:r>
            <w:r w:rsidR="00000000" w:rsidRPr="00000000" w:rsidDel="00000000">
              <w:rPr>
                <w:rtl w:val="0"/>
              </w:rPr>
              <w:t xml:space="preserve"> 1., 22.13.</w:t>
            </w:r>
            <w:r w:rsidR="00000000" w:rsidRPr="00000000" w:rsidDel="00000000">
              <w:rPr>
                <w:vertAlign w:val="superscript"/>
                <w:rtl w:val="0"/>
              </w:rPr>
              <w:t xml:space="preserve">1</w:t>
            </w:r>
            <w:r w:rsidR="00000000" w:rsidRPr="00000000" w:rsidDel="00000000">
              <w:rPr>
                <w:rtl w:val="0"/>
              </w:rPr>
              <w:t xml:space="preserve"> 3., 22.13.</w:t>
            </w:r>
            <w:r w:rsidR="00000000" w:rsidRPr="00000000" w:rsidDel="00000000">
              <w:rPr>
                <w:vertAlign w:val="superscript"/>
                <w:rtl w:val="0"/>
              </w:rPr>
              <w:t xml:space="preserve">2 </w:t>
            </w:r>
            <w:r w:rsidR="00000000" w:rsidRPr="00000000" w:rsidDel="00000000">
              <w:rPr>
                <w:rtl w:val="0"/>
              </w:rPr>
              <w:t xml:space="preserve"> un </w:t>
            </w:r>
            <w:r w:rsidR="00000000" w:rsidRPr="00000000" w:rsidDel="00000000">
              <w:rPr>
                <w:rtl w:val="0"/>
              </w:rPr>
              <w:t xml:space="preserve">22.13.</w:t>
            </w:r>
            <w:r w:rsidR="00000000" w:rsidRPr="00000000" w:rsidDel="00000000">
              <w:rPr>
                <w:vertAlign w:val="superscript"/>
                <w:rtl w:val="0"/>
              </w:rPr>
              <w:t xml:space="preserve">3</w:t>
            </w:r>
            <w:r w:rsidR="00000000" w:rsidRPr="00000000" w:rsidDel="00000000">
              <w:rPr>
                <w:rtl w:val="0"/>
              </w:rPr>
              <w:t xml:space="preserve"> apakšpunktā minētās sadarbības partneru projekta īstenošanas personāla atlīdzības izmaksas, kuras ir noteiktas, piemērojot vienas vienības izmaksu metodi, kā arī šo noteikumu 20.13.</w:t>
            </w:r>
            <w:r w:rsidR="00000000" w:rsidRPr="00000000" w:rsidDel="00000000">
              <w:rPr>
                <w:vertAlign w:val="superscript"/>
                <w:rtl w:val="0"/>
              </w:rPr>
              <w:t xml:space="preserve">7  </w:t>
            </w:r>
            <w:r w:rsidR="00000000" w:rsidRPr="00000000" w:rsidDel="00000000">
              <w:rPr>
                <w:rtl w:val="0"/>
              </w:rPr>
              <w:t xml:space="preserve">apakšpunktā minētās sadarbības partneru projekta īstenošanas personāla atlīdzības izmaksas, kurām tiek piemērota vienotā likme.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grozījumu 20.punktā aizstāt atsauci no </w:t>
            </w:r>
            <w:r w:rsidR="00000000" w:rsidRPr="00000000" w:rsidDel="00000000">
              <w:rPr>
                <w:u w:val="single"/>
                <w:rtl w:val="0"/>
              </w:rPr>
              <w:t xml:space="preserve">20</w:t>
            </w:r>
            <w:r w:rsidR="00000000" w:rsidRPr="00000000" w:rsidDel="00000000">
              <w:rPr>
                <w:rtl w:val="0"/>
              </w:rPr>
              <w:t xml:space="preserve">.13.</w:t>
            </w:r>
            <w:r w:rsidR="00000000" w:rsidRPr="00000000" w:rsidDel="00000000">
              <w:rPr>
                <w:vertAlign w:val="superscript"/>
                <w:rtl w:val="0"/>
              </w:rPr>
              <w:t xml:space="preserve">7</w:t>
            </w:r>
            <w:r w:rsidR="00000000" w:rsidRPr="00000000" w:rsidDel="00000000">
              <w:rPr>
                <w:rtl w:val="0"/>
              </w:rPr>
              <w:t xml:space="preserve"> apakšpunkta ar atsauci uz </w:t>
            </w:r>
            <w:r w:rsidR="00000000" w:rsidRPr="00000000" w:rsidDel="00000000">
              <w:rPr>
                <w:u w:val="single"/>
                <w:rtl w:val="0"/>
              </w:rPr>
              <w:t xml:space="preserve">22</w:t>
            </w:r>
            <w:r w:rsidR="00000000" w:rsidRPr="00000000" w:rsidDel="00000000">
              <w:rPr>
                <w:rtl w:val="0"/>
              </w:rPr>
              <w:t xml:space="preserve">.13.</w:t>
            </w:r>
            <w:r w:rsidR="00000000" w:rsidRPr="00000000" w:rsidDel="00000000">
              <w:rPr>
                <w:vertAlign w:val="superscript"/>
                <w:rtl w:val="0"/>
              </w:rPr>
              <w:t xml:space="preserve">7</w:t>
            </w:r>
            <w:r w:rsidR="00000000" w:rsidRPr="00000000" w:rsidDel="00000000">
              <w:rPr>
                <w:rtl w:val="0"/>
              </w:rPr>
              <w:t xml:space="preserve">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w:t>
            </w:r>
            <w:r w:rsidR="00000000" w:rsidRPr="00000000" w:rsidDel="00000000">
              <w:rPr>
                <w:rtl w:val="0"/>
              </w:rPr>
              <w:t xml:space="preserve">19.1.1.</w:t>
            </w:r>
            <w:r w:rsidR="00000000" w:rsidRPr="00000000" w:rsidDel="00000000">
              <w:rPr>
                <w:rtl w:val="0"/>
              </w:rPr>
              <w:t xml:space="preserve"> apakšpunktā minētās tiešās personāla izmaksas ietver finansējuma saņēmēja projektu īstenošanas personāla izmaksas un finansējuma saņēmēja vadības personāla atlīdzības izmaksas atbilstoši Valsts un pašvaldību institūciju amatpersonu un darbinieku atlīdzības likumam, izņemot virsstundas. Ja personāla iesaiste projektā ir nodrošināta saskaņā ar daļlaika attiecināmības principu, attiecināma ir ne mazāka kā 30 procentu noslodze. Ja projekta īstenošanas vai vadības personāls ir iesaistīts Valsts izglītības attīstības aģentūras īstenotajā darbības programmas "Izaugsme un nodarbinātība" 8.4.1. specifiskā atbalsta mērķa "Pilnveidot nodarbināto personu profesionālo kompetenci" projektā un tā pienākumi ir vienādi ar pasākumā "Sākotnējās profesionālās izglītības programmu īstenošana Jauniešu garantijas ietvaros" paredzētajiem, personāla atlīdzības apmēru katrā projektā nosaka atbilstoši mērķa grupas proporcijai. Šo noteikumu </w:t>
            </w:r>
            <w:r w:rsidR="00000000" w:rsidRPr="00000000" w:rsidDel="00000000">
              <w:rPr>
                <w:rtl w:val="0"/>
              </w:rPr>
              <w:t xml:space="preserve">19.1.1.</w:t>
            </w:r>
            <w:r w:rsidR="00000000" w:rsidRPr="00000000" w:rsidDel="00000000">
              <w:rPr>
                <w:rtl w:val="0"/>
              </w:rPr>
              <w:t xml:space="preserve"> apakšpunktā minētajās izmaksās netiek ietvertas šo noteikumu 22.10.1., 22.10.2., 22.13.</w:t>
            </w:r>
            <w:r w:rsidR="00000000" w:rsidRPr="00000000" w:rsidDel="00000000">
              <w:rPr>
                <w:vertAlign w:val="superscript"/>
                <w:rtl w:val="0"/>
              </w:rPr>
              <w:t xml:space="preserve">1</w:t>
            </w:r>
            <w:r w:rsidR="00000000" w:rsidRPr="00000000" w:rsidDel="00000000">
              <w:rPr>
                <w:rtl w:val="0"/>
              </w:rPr>
              <w:t xml:space="preserve"> 1., 22.13.</w:t>
            </w:r>
            <w:r w:rsidR="00000000" w:rsidRPr="00000000" w:rsidDel="00000000">
              <w:rPr>
                <w:vertAlign w:val="superscript"/>
                <w:rtl w:val="0"/>
              </w:rPr>
              <w:t xml:space="preserve">1</w:t>
            </w:r>
            <w:r w:rsidR="00000000" w:rsidRPr="00000000" w:rsidDel="00000000">
              <w:rPr>
                <w:rtl w:val="0"/>
              </w:rPr>
              <w:t xml:space="preserve"> 3., 22.13.</w:t>
            </w:r>
            <w:r w:rsidR="00000000" w:rsidRPr="00000000" w:rsidDel="00000000">
              <w:rPr>
                <w:vertAlign w:val="superscript"/>
                <w:rtl w:val="0"/>
              </w:rPr>
              <w:t xml:space="preserve">2 </w:t>
            </w:r>
            <w:r w:rsidR="00000000" w:rsidRPr="00000000" w:rsidDel="00000000">
              <w:rPr>
                <w:rtl w:val="0"/>
              </w:rPr>
              <w:t xml:space="preserve"> un </w:t>
            </w:r>
            <w:r w:rsidR="00000000" w:rsidRPr="00000000" w:rsidDel="00000000">
              <w:rPr>
                <w:rtl w:val="0"/>
              </w:rPr>
              <w:t xml:space="preserve">22.13.</w:t>
            </w:r>
            <w:r w:rsidR="00000000" w:rsidRPr="00000000" w:rsidDel="00000000">
              <w:rPr>
                <w:vertAlign w:val="superscript"/>
                <w:rtl w:val="0"/>
              </w:rPr>
              <w:t xml:space="preserve">3</w:t>
            </w:r>
            <w:r w:rsidR="00000000" w:rsidRPr="00000000" w:rsidDel="00000000">
              <w:rPr>
                <w:rtl w:val="0"/>
              </w:rPr>
              <w:t xml:space="preserve"> apakšpunktā minētās sadarbības partneru projekta īstenošanas personāla atlīdzības izmaksas, kuras ir noteiktas, piemērojot vienas vienības izmaksu metodi, kā arī šo noteikumu 20.13.</w:t>
            </w:r>
            <w:r w:rsidR="00000000" w:rsidRPr="00000000" w:rsidDel="00000000">
              <w:rPr>
                <w:vertAlign w:val="superscript"/>
                <w:rtl w:val="0"/>
              </w:rPr>
              <w:t xml:space="preserve">7  </w:t>
            </w:r>
            <w:r w:rsidR="00000000" w:rsidRPr="00000000" w:rsidDel="00000000">
              <w:rPr>
                <w:rtl w:val="0"/>
              </w:rPr>
              <w:t xml:space="preserve">apakšpunktā minētās sadarbības partneru projekta īstenošanas personāla atlīdzības izmaksas, kurām tiek piemērota vienotā likme.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projektu papildināt vai skaidrot anotācijā, no kura brīža likme sadarbības partneru projekta īstenošanas personāla atlīdzībām piemērojama un kā izmaksas attiecināmas līdz 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22.13.</w:t>
            </w:r>
            <w:r w:rsidR="00000000" w:rsidRPr="00000000" w:rsidDel="00000000">
              <w:rPr>
                <w:vertAlign w:val="superscript"/>
                <w:rtl w:val="0"/>
              </w:rPr>
              <w:t xml:space="preserve">7</w:t>
            </w:r>
            <w:r w:rsidR="00000000" w:rsidRPr="00000000" w:rsidDel="00000000">
              <w:rPr>
                <w:rtl w:val="0"/>
              </w:rPr>
              <w:t xml:space="preserve"> projekta īstenošanā iesaistīto pilsētas vai novada pašvaldību atbalsta personāla atlīdzības izmaksas šo noteikumu 18.2.</w:t>
            </w:r>
            <w:r w:rsidR="00000000" w:rsidRPr="00000000" w:rsidDel="00000000">
              <w:rPr>
                <w:vertAlign w:val="superscript"/>
                <w:rtl w:val="0"/>
              </w:rPr>
              <w:t xml:space="preserve">1</w:t>
            </w:r>
            <w:r w:rsidR="00000000" w:rsidRPr="00000000" w:rsidDel="00000000">
              <w:rPr>
                <w:rtl w:val="0"/>
              </w:rPr>
              <w:t xml:space="preserve">1., 18.2.</w:t>
            </w:r>
            <w:r w:rsidR="00000000" w:rsidRPr="00000000" w:rsidDel="00000000">
              <w:rPr>
                <w:vertAlign w:val="superscript"/>
                <w:rtl w:val="0"/>
              </w:rPr>
              <w:t xml:space="preserve">1</w:t>
            </w:r>
            <w:r w:rsidR="00000000" w:rsidRPr="00000000" w:rsidDel="00000000">
              <w:rPr>
                <w:rtl w:val="0"/>
              </w:rPr>
              <w:t xml:space="preserve">2., 18.2.</w:t>
            </w:r>
            <w:r w:rsidR="00000000" w:rsidRPr="00000000" w:rsidDel="00000000">
              <w:rPr>
                <w:vertAlign w:val="superscript"/>
                <w:rtl w:val="0"/>
              </w:rPr>
              <w:t xml:space="preserve">1</w:t>
            </w:r>
            <w:r w:rsidR="00000000" w:rsidRPr="00000000" w:rsidDel="00000000">
              <w:rPr>
                <w:rtl w:val="0"/>
              </w:rPr>
              <w:t xml:space="preserve">3., 18.2.</w:t>
            </w:r>
            <w:r w:rsidR="00000000" w:rsidRPr="00000000" w:rsidDel="00000000">
              <w:rPr>
                <w:vertAlign w:val="superscript"/>
                <w:rtl w:val="0"/>
              </w:rPr>
              <w:t xml:space="preserve">1</w:t>
            </w:r>
            <w:r w:rsidR="00000000" w:rsidRPr="00000000" w:rsidDel="00000000">
              <w:rPr>
                <w:rtl w:val="0"/>
              </w:rPr>
              <w:t xml:space="preserve">4., 18.2.</w:t>
            </w:r>
            <w:r w:rsidR="00000000" w:rsidRPr="00000000" w:rsidDel="00000000">
              <w:rPr>
                <w:vertAlign w:val="superscript"/>
                <w:rtl w:val="0"/>
              </w:rPr>
              <w:t xml:space="preserve">1</w:t>
            </w:r>
            <w:r w:rsidR="00000000" w:rsidRPr="00000000" w:rsidDel="00000000">
              <w:rPr>
                <w:rtl w:val="0"/>
              </w:rPr>
              <w:t xml:space="preserve">5., 18.2.</w:t>
            </w:r>
            <w:r w:rsidR="00000000" w:rsidRPr="00000000" w:rsidDel="00000000">
              <w:rPr>
                <w:vertAlign w:val="superscript"/>
                <w:rtl w:val="0"/>
              </w:rPr>
              <w:t xml:space="preserve">1</w:t>
            </w:r>
            <w:r w:rsidR="00000000" w:rsidRPr="00000000" w:rsidDel="00000000">
              <w:rPr>
                <w:rtl w:val="0"/>
              </w:rPr>
              <w:t xml:space="preserve">6., 18.2.</w:t>
            </w:r>
            <w:r w:rsidR="00000000" w:rsidRPr="00000000" w:rsidDel="00000000">
              <w:rPr>
                <w:vertAlign w:val="superscript"/>
                <w:rtl w:val="0"/>
              </w:rPr>
              <w:t xml:space="preserve">1</w:t>
            </w:r>
            <w:r w:rsidR="00000000" w:rsidRPr="00000000" w:rsidDel="00000000">
              <w:rPr>
                <w:rtl w:val="0"/>
              </w:rPr>
              <w:t xml:space="preserve">7. un 18.2.</w:t>
            </w:r>
            <w:r w:rsidR="00000000" w:rsidRPr="00000000" w:rsidDel="00000000">
              <w:rPr>
                <w:vertAlign w:val="superscript"/>
                <w:rtl w:val="0"/>
              </w:rPr>
              <w:t xml:space="preserve">1</w:t>
            </w:r>
            <w:r w:rsidR="00000000" w:rsidRPr="00000000" w:rsidDel="00000000">
              <w:rPr>
                <w:rtl w:val="0"/>
              </w:rPr>
              <w:t xml:space="preserve">8. apakšpunktā minētās atbalstāmās darbības īstenošanai, ko finansējuma saņēmējs plāno kā vienu izmaksu pozīciju, piemērojot vienoto likmi 20 procentu apmērā no šo noteikumu 18.2.</w:t>
            </w:r>
            <w:r w:rsidR="00000000" w:rsidRPr="00000000" w:rsidDel="00000000">
              <w:rPr>
                <w:vertAlign w:val="superscript"/>
                <w:rtl w:val="0"/>
              </w:rPr>
              <w:t xml:space="preserve">1</w:t>
            </w:r>
            <w:r w:rsidR="00000000" w:rsidRPr="00000000" w:rsidDel="00000000">
              <w:rPr>
                <w:rtl w:val="0"/>
              </w:rPr>
              <w:t xml:space="preserve">1., 18.2.</w:t>
            </w:r>
            <w:r w:rsidR="00000000" w:rsidRPr="00000000" w:rsidDel="00000000">
              <w:rPr>
                <w:vertAlign w:val="superscript"/>
                <w:rtl w:val="0"/>
              </w:rPr>
              <w:t xml:space="preserve">1</w:t>
            </w:r>
            <w:r w:rsidR="00000000" w:rsidRPr="00000000" w:rsidDel="00000000">
              <w:rPr>
                <w:rtl w:val="0"/>
              </w:rPr>
              <w:t xml:space="preserve">2., 18.2.</w:t>
            </w:r>
            <w:r w:rsidR="00000000" w:rsidRPr="00000000" w:rsidDel="00000000">
              <w:rPr>
                <w:vertAlign w:val="superscript"/>
                <w:rtl w:val="0"/>
              </w:rPr>
              <w:t xml:space="preserve">1</w:t>
            </w:r>
            <w:r w:rsidR="00000000" w:rsidRPr="00000000" w:rsidDel="00000000">
              <w:rPr>
                <w:rtl w:val="0"/>
              </w:rPr>
              <w:t xml:space="preserve">3., 18.2.</w:t>
            </w:r>
            <w:r w:rsidR="00000000" w:rsidRPr="00000000" w:rsidDel="00000000">
              <w:rPr>
                <w:vertAlign w:val="superscript"/>
                <w:rtl w:val="0"/>
              </w:rPr>
              <w:t xml:space="preserve">1</w:t>
            </w:r>
            <w:r w:rsidR="00000000" w:rsidRPr="00000000" w:rsidDel="00000000">
              <w:rPr>
                <w:rtl w:val="0"/>
              </w:rPr>
              <w:t xml:space="preserve">4., 18.2.</w:t>
            </w:r>
            <w:r w:rsidR="00000000" w:rsidRPr="00000000" w:rsidDel="00000000">
              <w:rPr>
                <w:vertAlign w:val="superscript"/>
                <w:rtl w:val="0"/>
              </w:rPr>
              <w:t xml:space="preserve">1</w:t>
            </w:r>
            <w:r w:rsidR="00000000" w:rsidRPr="00000000" w:rsidDel="00000000">
              <w:rPr>
                <w:rtl w:val="0"/>
              </w:rPr>
              <w:t xml:space="preserve">5. un 18.2.</w:t>
            </w:r>
            <w:r w:rsidR="00000000" w:rsidRPr="00000000" w:rsidDel="00000000">
              <w:rPr>
                <w:vertAlign w:val="superscript"/>
                <w:rtl w:val="0"/>
              </w:rPr>
              <w:t xml:space="preserve">1</w:t>
            </w:r>
            <w:r w:rsidR="00000000" w:rsidRPr="00000000" w:rsidDel="00000000">
              <w:rPr>
                <w:rtl w:val="0"/>
              </w:rPr>
              <w:t xml:space="preserve">6. apakšpunktā minētajām izmaksām, un ko piešķir pilsētas vai novada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likmes apmērs saskaņojams ar vadošo iestādi, iesniedzot likmes apmēra pamatojumu.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38.4. Valsts izglītības attīstības aģentūra organizē iepirkumus, lai veiktu pakalpojuma sniedzēju atlasi, kas nodrošinās izglītības programmu īstenošanu vispārējo pamatprasmju apguvei, profesionālajai tālākizglītībai, profesionālajai pilnveidei šo noteikumu </w:t>
            </w:r>
            <w:r w:rsidR="00000000" w:rsidRPr="00000000" w:rsidDel="00000000">
              <w:rPr>
                <w:rtl w:val="0"/>
              </w:rPr>
              <w:t xml:space="preserve">18.2.2.</w:t>
            </w:r>
            <w:r w:rsidR="00000000" w:rsidRPr="00000000" w:rsidDel="00000000">
              <w:rPr>
                <w:rtl w:val="0"/>
              </w:rPr>
              <w:t xml:space="preserve"> apakšpunktā minētās atbalstāmās darbības ietvaros ieslodzījuma vietās;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lai atbalsta saņēmējs - publiska persona, slēdzot iepirkuma līgumus vai veicot iepirkumu, izslēgtu komercdarbības atbalstu konkrētam piegādātājam, jārīkojas kā tirgus ekonomikas dalībniekiem, proti, darījumam ir jāatbilst tirgus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lai izslēgtu ekonomiskās priekšrocības preču piegādātājiem un pakalpojumu sniedzējiem, tādējādi novēršot tiem komercdarbības atbalsta piešķiršanu, tie būtu jāizraugās atklātā, pārredzamā, nediskriminējošā un konkurenci nodrošinošā procedūrā. Procedūrai ir jābūt konkurenci nodrošinošai, lai procesā varētu piedalīties visi ieinteresētie un nosacījumiem atbilstīgie piegādātāji/pakalpojuma sniedzēji, kā arī procedūrai ir jābūt pārredzamai, lai nodrošinātu, ka visi ieinteresētie piegādātāji/pakalpojuma sniedzēji katrā konkursa procedūras posmā ir vienādi un pienācīgi informēti. Iepirkuma procedūrai jābūt pietiekami plaši publiskotai, lai par to varētu uzzināt potenciālie piedāvājumu iesniedzēji. Nepieciešamie priekšnosacījumi ir nediskriminējoša attieksme pret visiem piedāvājumu iesniedzējiem visos procedūras posmos un objektīvu atlases un līgumslēgšanas kritēriju noteikšana pirms procedūras. Lai garantētu vienlīdzīgu attieksmi, līgumslēgšanas kritērijiem būtu jābūt tādiem, kas dod iespēju objektīvi salīdzināt un novērtēt piedāvājumus. Skaidrojam, ka preču/pakalpojumu iegāde no komersantiem, neievērojot atklātu, pārredzamu, nediskriminējošu un konkurenci nodrošinošu procedūru, var kvalificēties kā komercdarbības atbalsts tiem un tad tas var tikt piešķirts, tikai ievērojot attiecīgo komercdarbības atbalsta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preču piegādātāju/pakalpojumu sniedzēja līmenī netiek sniegts komercdarbības atbalsts, lūdzam papildināt noteikumu projektu ar nosacījumu, ka īstenojot projektu, publiskas personas (piemēram, aģentūras un izglītības iestādes) izvēlas preču piegādātāju/pakalpojuma sniedzējus saskaņā ar normatīvajiem aktiem publisko iepirkumu jomā, īstenojot atklātu, pārredzamu, nediskriminējošu un konkurenci nodrošinošu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Izmaksas, kas radušās šo noteikumu 18.1.10., 18.1.11., 18.2.4., 22.8., 22.9., 22.13., 34.2. un 38.7. apakšpunktā minētajā gadījumā, kā arī šo noteikumu 22.10. un 22.12. apakšpunktā minētās izmaksas šo noteikumu 3.2.1.3. un 3.2.1.4. apakšpunktā minētajai mērķa grupai uzskaita kā tiešo attiecināmo finansējumu un finansē no šo noteikumu 8. punktā minētajiem plānotajiem Eiropas Sociālā fonda līdzekļiem un valsts budžeta līdzfinansējuma. Minēto izmaksu maksimālais attiecināmais Eiropas Sociālā fonda finansējuma apmērs nepārsniedz 85,43 procentus no šo izmaksu kopējā apmēra. Minēto izmaksu apmērs ir 7 020 579 </w:t>
            </w:r>
            <w:r w:rsidR="00000000" w:rsidRPr="00000000" w:rsidDel="00000000">
              <w:rPr>
                <w:i w:val="1"/>
                <w:rtl w:val="0"/>
              </w:rPr>
              <w:t xml:space="preserve">euro</w:t>
            </w:r>
            <w:r w:rsidR="00000000" w:rsidRPr="00000000" w:rsidDel="00000000">
              <w:rPr>
                <w:rtl w:val="0"/>
              </w:rPr>
              <w:t xml:space="preserve">, tai skaitā Eiropas Sociālā fonda finansējums – 5 997 541 </w:t>
            </w:r>
            <w:r w:rsidR="00000000" w:rsidRPr="00000000" w:rsidDel="00000000">
              <w:rPr>
                <w:i w:val="1"/>
                <w:rtl w:val="0"/>
              </w:rPr>
              <w:t xml:space="preserve">euro</w:t>
            </w:r>
            <w:r w:rsidR="00000000" w:rsidRPr="00000000" w:rsidDel="00000000">
              <w:rPr>
                <w:rtl w:val="0"/>
              </w:rPr>
              <w:t xml:space="preserve"> un valsts budžeta līdzfinansējums – 1 023 038 </w:t>
            </w:r>
            <w:r w:rsidR="00000000" w:rsidRPr="00000000" w:rsidDel="00000000">
              <w:rPr>
                <w:i w:val="1"/>
                <w:rtl w:val="0"/>
              </w:rPr>
              <w:t xml:space="preserve">euro</w:t>
            </w:r>
            <w:r w:rsidR="00000000" w:rsidRPr="00000000" w:rsidDel="00000000">
              <w:rPr>
                <w:rtl w:val="0"/>
              </w:rPr>
              <w:t xml:space="preserve">, un to var izlietot: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MK noteikumu Nr. 207 grozījumiem, kas stājās spēkā 18.08.2020., tika palielināts 7.2.1 SAM kopējais attiecināmais finansējums, t.sk., arī ESF finansējums, kā arī, lai nodrošinātu korektu 7.2.1. SAM izmaksu deklarēšanu atbilstoši darbības programmā  “Izaugsme un nodarbinātība” norādītajiem finanšu apjomiem, lūdzam precizēt MK noteikumu 41. punktu, nosakot, ka 22.10.apakšpunktā minētās izmaksas var tikt finansētas arī 3.2.1. apakšpunktā noteiktajai mērķa grupai no šo noteikumu 8. punktā minētajiem plānotajiem ESF līdzekļiem un VB līdzfinansējuma.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Pieņemot lēmumu par </w:t>
            </w:r>
            <w:r w:rsidR="00000000" w:rsidRPr="00000000" w:rsidDel="00000000">
              <w:rPr>
                <w:i w:val="1"/>
                <w:rtl w:val="0"/>
              </w:rPr>
              <w:t xml:space="preserve">de minimis</w:t>
            </w:r>
            <w:r w:rsidR="00000000" w:rsidRPr="00000000" w:rsidDel="00000000">
              <w:rPr>
                <w:rtl w:val="0"/>
              </w:rPr>
              <w:t xml:space="preserve"> atbalsta piešķiršanu, ko Nodarbinātības valsts aģentūra dotācijas veidā piešķir saimnieciskās darbības veicējam šo noteikumu </w:t>
            </w:r>
            <w:r w:rsidR="00000000" w:rsidRPr="00000000" w:rsidDel="00000000">
              <w:rPr>
                <w:rtl w:val="0"/>
              </w:rPr>
              <w:t xml:space="preserve">18.1.4.</w:t>
            </w:r>
            <w:r w:rsidR="00000000" w:rsidRPr="00000000" w:rsidDel="00000000">
              <w:rPr>
                <w:rtl w:val="0"/>
              </w:rPr>
              <w:t xml:space="preserve">, </w:t>
            </w:r>
            <w:r w:rsidR="00000000" w:rsidRPr="00000000" w:rsidDel="00000000">
              <w:rPr>
                <w:rtl w:val="0"/>
              </w:rPr>
              <w:t xml:space="preserve">18.1.7.</w:t>
            </w:r>
            <w:r w:rsidR="00000000" w:rsidRPr="00000000" w:rsidDel="00000000">
              <w:rPr>
                <w:rtl w:val="0"/>
              </w:rPr>
              <w:t xml:space="preserve"> un </w:t>
            </w:r>
            <w:r w:rsidR="00000000" w:rsidRPr="00000000" w:rsidDel="00000000">
              <w:rPr>
                <w:rtl w:val="0"/>
              </w:rPr>
              <w:t xml:space="preserve">18.1.8.</w:t>
            </w:r>
            <w:r w:rsidR="00000000" w:rsidRPr="00000000" w:rsidDel="00000000">
              <w:rPr>
                <w:rtl w:val="0"/>
              </w:rPr>
              <w:t xml:space="preserve"> apakšpunktā minēto atbalstāmo darbību ietvaros, un atbalstu izmaksām, kas saistītas ar iekārtu un aprīkojuma iegādi, kā arī tehnisko palīglīdzekļu izgatavošanu un iegādi šo noteikumu </w:t>
            </w:r>
            <w:r w:rsidR="00000000" w:rsidRPr="00000000" w:rsidDel="00000000">
              <w:rPr>
                <w:rtl w:val="0"/>
              </w:rPr>
              <w:t xml:space="preserve">22.2.1.3.</w:t>
            </w:r>
            <w:r w:rsidR="00000000" w:rsidRPr="00000000" w:rsidDel="00000000">
              <w:rPr>
                <w:rtl w:val="0"/>
              </w:rPr>
              <w:t xml:space="preserve"> apakšpunktā minētās mācību vietas pielāgošanai, ievēro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ir jābūt skaidri noteiktam, kurš brīdis tiks uzskatīts par juridiski saistošu, kad atbalsta saņēmējam radīsies likumīgas tiesības saņemt  de minimis atbalstu, t.i. kurš brīdis tiek uzskatīts par de minimis atbalsta piešķiršanas brīdi (piemēram, lēmums par atbalsta piešķiršanu, līgums par projekta īstenošanu, u.c.). Lūdzam papildināt šo punktu, kurš dokuments būs kvalificējams kā lēmums par de minimis atbalsta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r w:rsidR="00000000" w:rsidRPr="00000000" w:rsidDel="00000000">
              <w:rPr>
                <w:vertAlign w:val="superscript"/>
                <w:rtl w:val="0"/>
              </w:rPr>
              <w:t xml:space="preserve">1</w:t>
            </w:r>
            <w:r w:rsidR="00000000" w:rsidRPr="00000000" w:rsidDel="00000000">
              <w:rPr>
                <w:rtl w:val="0"/>
              </w:rPr>
              <w:t xml:space="preserve"> Ja ir pārkāptas Komisijas regulas Nr. 1407/2013, Komisijas regulas Nr. 717/2014 vai Komisijas regulas Nr. 1408/2013 prasības, atbalsta saņēmējam ir pienākums atmaksāt Nodarbinātības valsts aģentūrai visu šo noteikumu 18.1.4., 18.1.7. un 18.1.8. apakšpunktā minēto atbalstāmo darbību ietvaros saņemto </w:t>
            </w:r>
            <w:r w:rsidR="00000000" w:rsidRPr="00000000" w:rsidDel="00000000">
              <w:rPr>
                <w:i w:val="1"/>
                <w:rtl w:val="0"/>
              </w:rPr>
              <w:t xml:space="preserve">de minimis</w:t>
            </w:r>
            <w:r w:rsidR="00000000" w:rsidRPr="00000000" w:rsidDel="00000000">
              <w:rPr>
                <w:rtl w:val="0"/>
              </w:rPr>
              <w:t xml:space="preserve"> atbalstu, kas piešķirts saskaņā ar attiecīgo regulu, kopā ar procentiem, ko publicē Eiropas Komisija saskaņā ar Komisijas 2004. gada 21. aprīļa Regulas (EK) Nr. 794/2004, ar ko īsteno Padomes Regulu (ES) 2015/1589, ar ko nosaka sīki izstrādātus noteikumus Līguma par Eiropas Savienības darbību 108. panta piemērošanai (turpmāk – Komisijas regula Nr. 794/2004), 10. pantu, tiem pieskaitot 100 bāzes punktus, no dienas, kad </w:t>
            </w:r>
            <w:r w:rsidR="00000000" w:rsidRPr="00000000" w:rsidDel="00000000">
              <w:rPr>
                <w:i w:val="1"/>
                <w:rtl w:val="0"/>
              </w:rPr>
              <w:t xml:space="preserve">de minimis</w:t>
            </w:r>
            <w:r w:rsidR="00000000" w:rsidRPr="00000000" w:rsidDel="00000000">
              <w:rPr>
                <w:rtl w:val="0"/>
              </w:rPr>
              <w:t xml:space="preserve"> atbalsts tika izmaksāts saimnieciskās darbības veicējam, līdz tā atgūšanas dienai, ievērojot Komisijas regulas Nr. 794/2004 11. pantā noteikto procentu likmes piemērošanas metodi.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08.06.2021 stājās spēkā grozījumi Komercdarbības atbalsta kontroles likumā, papildinot likumu ar normām, kas nosaka pienākumu atgūt nelikumīgo komercdarbības atbalstu gadījumos, kad Eiropas Komisija nav pieņēmusi lēmumu par nelikumīga un nesaderīga ar Eiropas Savienības iekšējo tirgu atbalsta atgūšanu, kā arī to, ka pasākumā ir paredzētas stingrākas prasības attiecībā uz atbalsta kumulāciju, lūdzam šo punktu izteikt,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r w:rsidR="00000000" w:rsidRPr="00000000" w:rsidDel="00000000">
              <w:rPr>
                <w:vertAlign w:val="superscript"/>
                <w:rtl w:val="0"/>
              </w:rPr>
              <w:t xml:space="preserve">1</w:t>
            </w:r>
            <w:r w:rsidR="00000000" w:rsidRPr="00000000" w:rsidDel="00000000">
              <w:rPr>
                <w:rtl w:val="0"/>
              </w:rPr>
              <w:t xml:space="preserve"> Ja tiek pārkāptas šajos noteikumos noteiktās komercdarbības atbalsta kontroles normas, tostarp nosacījumi, kas izriet no Komisijas regulas Nr.1407/2013, Komisijas regulas Nr. 717/2014 vai Komisijas regulas Nr. 1408/2013, atbalsta saņēmējam ir pienākums atmaksāt Nodarbinātības valsts aģentūrai visu šo noteikumu 18.1.4., 18.1.7. un 18.1.8. apakšpunktā minēto atbalstāmo darbību ietvaros saņemto de minimis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1.sadalās 1.2.apakšsadaļas apakšnodaļu "Mērķa apraksts", norādot atsauci arī uz pasākumu "Aktīvās darba tirgus politikas pasākumu īstenošana jauniešu bezdarbnieku nodarbinātības veicināšanai", ņemot vērā, ka grozījumi skar arī šo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anotācijas 1.sadaļas 1.2.apakšsadaļas apakšnodaļu "Mērķa apraksts" vārdu "laikrakstā" ar vārdu "izdevumā".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1.3.apakšsadaļas apakšsadaļu "Problēmas apraksts" ar vārdiem "kā Eiropas Savienības struktūrfondu un Kohēzijas fonda sadarbības iestāde" aiz vārda "aģentūra".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1.sadaļas 1.3.apakšsadaļas apakšnodaļas "Problēmas apraksts" pēdējā rindkopā pēc frāzes "Kohēzijas politikas fondu vadības informācijas sistēmas" ar skaitļiem un vārdu "2014.-2020.gadam".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informāciju par Centrālo finanšu un līgumu aģentūru, ņemot vērā, ka būs jāveic grozījumi 2015. gada 16. novembra Nr. 7.2.1.2./15/I/001 noslēgtajā vienošanās par 7.2.1.2. pasākuma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8.1.16. uz bērna labākajām interesēm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8.1.16.apakšsadaļu, ņemot vārā, ka anotācijā tika minēts, ka "mērķa grupa ir jaunieši vecumā no 15 līdz 29 gadiem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apakšsadaļas “Problēmas apraksts” 1. rindkopas pēdējā teikumā dzēst vārdu “tehnisku”, ņemot vērā, ka anotācijas aprakstā minētais nav uzskatāms par tehnisku precizējumu.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projekta Nr.7.2.1.2/15/I/001 iesniegumā norādītajai informācijai, finansējuma saņēmējs ir plānojis nodrošināt individuālā mentora vai personiskās izaugsmes trenera atbalstu 120 jauniešiem darbavietā, 280 jauniešiem izglītībā, kā arī 150 jauniešiem ir plānojis nodrošināt atbalstu apmācību apguvei. Lūdzam izvērtēt vai nav nepieciešams attiecīgi precizēt anotācijas apakšsadaļas “Risinājuma apraksts” 4. punktā norādīto informāciju, t.sk., norādītās izmaksas iepriekš minēto darbību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1.6. sadaļu “Cita informācija” par grozījumu veikšanas nodrošināšanu vienošanās Nr.7.2.1.2./15/I/001 arī ar Jaunatnes starptautisko programmu aģentūru, kura pēc MK noteikumu grozījumu spēkā stāšanās nodrošinās vienošanās grozījumu ierosinājumu.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40.13.2.2. dalībnieki labākā darba tirgus situācijā sešus mēnešus pēc aiziešanas;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MK noteikumu 40.13.2.2. apakšpunktā minētais nosacījums ir attiecināms uz Jaunatnes starptautisko programmu aģentūru un attiecīgi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22-TA-2982</w:t>
    </w:r>
    <w:r>
      <w:br/>
    </w:r>
    <w:r w:rsidR="00000000" w:rsidRPr="00000000" w:rsidDel="00000000">
      <w:rPr>
        <w:rtl w:val="0"/>
      </w:rPr>
      <w:t xml:space="preserve">Izdrukāts 12.12.2022. 13.16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22-TA-2982</w:t>
    </w:r>
    <w:r>
      <w:br/>
    </w:r>
    <w:r w:rsidR="00000000" w:rsidRPr="00000000" w:rsidDel="00000000">
      <w:rPr>
        <w:rtl w:val="0"/>
      </w:rPr>
      <w:t xml:space="preserve">Izdrukāts 12.12.2022. 13.16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Atzinumi_22-TA-2982.docx</dc:title>
</cp:coreProperties>
</file>

<file path=docProps/custom.xml><?xml version="1.0" encoding="utf-8"?>
<Properties xmlns="http://schemas.openxmlformats.org/officeDocument/2006/custom-properties" xmlns:vt="http://schemas.openxmlformats.org/officeDocument/2006/docPropsVTypes"/>
</file>