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Jaunatnes politikas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Jaunatnes politikas īstenošanas plāns 2025.–2027. gadam sadaļu III Politikas rezultāti un rezultatīvie rādītāji un salīdzinot tos ar Jaunatnes politikas īstenošanas plāns 2023.–2024. gadam to pašu sadaļu, rodas jautājums, ja vairāki no Jaunatnes politikas īstenošanas plāns 2023.–2024. gadam izvirzītajiem rezultātiem nav sasniegti, kāpēc Jaunatnes politikas īstenošanas plāns 2025.–2027. gadam sasniedzmie rezultāti tiek izvirzīti vēl ambiciozāki par tiem, kas vēl nav izpildījušies līdz 2024.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Jauniešu īpatsvars, kuri piedalās jauniešu centru aktivitātēs,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periodā par bāzes vērtību tika ņemta 2018.g. jauniešu īpatsvars - 19%, sasniedzamais jauniešu īpatsvars 2024. gadā - 24%.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plānošanas periodā redzams, ka 2024. gadā sasniegto jauniešu īpatsvars ir bijis vien 11,9% (mazāk nekā bija 2018. gadā), taču līdz 2026. gadam plānots sasniegt 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mūsu puses ir jautājums vai tika veikta Jaunatnes politikas īstenošanas plāns 2023.–2024. gadam izvērtēšana, ņemot vērā plānotos un sasniegtos rezultātus, un vai balstoties uz to tika noteikti jauni sasniedzamie rādītāji, vai jaunie rezultāti tiek balstīti uz projektos izvirzītajiem sasniedzamajiem mērķiem?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Zvaigzne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Atzinumi_24-TA-2660.docx</dc:title>
</cp:coreProperties>
</file>

<file path=docProps/custom.xml><?xml version="1.0" encoding="utf-8"?>
<Properties xmlns="http://schemas.openxmlformats.org/officeDocument/2006/custom-properties" xmlns:vt="http://schemas.openxmlformats.org/officeDocument/2006/docPropsVTypes"/>
</file>