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šajā sadaļā sniegto informāciju par Veselības ministriju pārcelt uz 7.sadaļu "Izpildes nodrošināšana", jo atbilstoši Vadlīnijām tiesību akta projekta sākotnējās ietekmes novērtēšanai un novērtējuma ziņojuma sagatavošanai vienotajā tiesību aktu izstrādes un saskaņošanas portālā, 2.sadaļā jāatspoguļo informācija par ietekmi uz privātpersonām - fiziskām un juridiskām, savukārt 7.sadaļā - par ietekmi uz institūcijām. Lūdzam arī atbilstoši precizēt iekļautās informācijas saturu, jo šobrīd tā neraksturo ietekmi uz Veselības ministrijas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11.12.2023.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11.12.2023.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Atzinumi_23-TA-2242.docx</dc:title>
</cp:coreProperties>
</file>

<file path=docProps/custom.xml><?xml version="1.0" encoding="utf-8"?>
<Properties xmlns="http://schemas.openxmlformats.org/officeDocument/2006/custom-properties" xmlns:vt="http://schemas.openxmlformats.org/officeDocument/2006/docPropsVTypes"/>
</file>