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Radiofrekvences piešķīruma lietošanas atļauju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08.02.2023.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08.02.2023.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