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kad pēdējo reizi ir pārskatīts valsts nodevu apmērs. Tā, piemēram, saskaņā ar Ministru kabineta 2019. gada 27. augusta noteikumiem Nr. 399 "Grozījumi Ministru kabineta 2012. gada 21. februāra noteikumos Nr. 133 "Noteikumi par valsts nodevu par personu apliecinošu dokumentu izsniegšanu"" ar 2019. gada 2. septembri valsts nodevas apmēru par pases izsniegšanu paaugstināja no 28,46 uz 30 </w:t>
            </w:r>
            <w:r w:rsidR="00000000" w:rsidRPr="00000000" w:rsidDel="00000000">
              <w:rPr>
                <w:i w:val="1"/>
                <w:rtl w:val="0"/>
              </w:rPr>
              <w:t xml:space="preserve">euro</w:t>
            </w:r>
            <w:r w:rsidR="00000000" w:rsidRPr="00000000" w:rsidDel="00000000">
              <w:rPr>
                <w:rtl w:val="0"/>
              </w:rPr>
              <w:t xml:space="preserve">, ja pasi izsniedz 10 darbdienu laikā, bet samazināja no 56,91 uz 55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ietekmes aprakstā norādīt, vai tiesiskais regulējums ietekmē personu tiesības, pienākumus un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atbrīvojuma no valsts nodevas noteikšanu jaunam tiesību subjektam - privātam mājkalpotājam.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23-TA-2426</w:t>
    </w:r>
    <w:r>
      <w:br/>
    </w:r>
    <w:r w:rsidR="00000000" w:rsidRPr="00000000" w:rsidDel="00000000">
      <w:rPr>
        <w:rtl w:val="0"/>
      </w:rPr>
      <w:t xml:space="preserve">Izdrukāts 16.01.2024.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23-TA-2426</w:t>
    </w:r>
    <w:r>
      <w:br/>
    </w:r>
    <w:r w:rsidR="00000000" w:rsidRPr="00000000" w:rsidDel="00000000">
      <w:rPr>
        <w:rtl w:val="0"/>
      </w:rPr>
      <w:t xml:space="preserve">Izdrukāts 16.01.2024.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Atzinumi_23-TA-2426.docx</dc:title>
</cp:coreProperties>
</file>

<file path=docProps/custom.xml><?xml version="1.0" encoding="utf-8"?>
<Properties xmlns="http://schemas.openxmlformats.org/officeDocument/2006/custom-properties" xmlns:vt="http://schemas.openxmlformats.org/officeDocument/2006/docPropsVTypes"/>
</file>