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Resocializācijas politikas pamatnostādņu 2022.-2027.gadam īstenošanas plāns 2022.-2024.gadam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plāna projektu ar zemsvītras atsauci ar </w:t>
            </w:r>
            <w:r w:rsidR="00000000" w:rsidRPr="00000000" w:rsidDel="00000000">
              <w:rPr>
                <w:rtl w:val="0"/>
              </w:rPr>
              <w:t xml:space="preserve">Eiropas Savienības kohēzijas politikas programmas 2021.–2027.gadam papildinājumā plānoto finansējumu: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4.3.4.6.pasākumam  "Resocializācijas pakalpojumu probācijas klientiem pilnveidošana un taisnīguma atjaunošanas pieeju attīstība, veicinot probācijas klientu aktīvu līdzdalību sabiedrības procesos un radot priekšnosacījumus viņu veiksmīgai iekļaušanai un nodarbināmībai" (turpmāk –  4.3.4.6.pasākums). T.i. 4.3.4.6. pasākuma ietvaros plānotais kopējais finansējums ar elastības finansējumu ir 3 371 250 euro (tai skaitā elastības finansējuma apjoms 531 899 euro), tai skaitā ESF+ finansējums 2 865 562 euro (tai skaitā elastības finansējuma apjoms 452 114 euro) un valsts budžeta finansējums 505 688 euro (tai skaitā elastības finansējuma apjoms 79 785 euro);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  4.3.4.7.pasākumam " “Nodarbinātības priekšnosacījumu nodrošināšana ieslodzītajiem, pilnveidojot resocializācijas sistēmas efektivitāti, sekmējot bijušo ieslodzīto iekļaušanos, vienlīdzīgas iespējas un aktīvu līdzdalību" (turpmāk – 4.3.4.7.pasākums). T.i. 4.3.4.7.pasākuma ietvaros plānotais kopējais finansējums ir 3 371 251 euro (tai skaitā elastības finansējuma apjoms 531 900 euro), tai skaitā ESF+ finansējums 2 865 563 euro (tai skaitā elastības finansējuma apjoms 452 115 euro) un valsts budžeta finansējums 505 688 euro (tai skaitā elastības finansējuma apjoms 79785 euro) 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Citādi no šī brīža plāna projektam pievienotā Excel pielikuma nav 100% iespējams gūt pārliecību par abu augstāk minēto pasākumu plānoto kopējo finansējumu.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Zariņa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Pielikums Resocializācijas politikas pamatnostādņu 2022.-2027.gadam īstenošanas plānam 2022.-2024.gadam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pārliecināties, ka plāna Excel pielikumā ir norādīts korekts budžeta apakšprogrammas nosaukums (6</w:t>
            </w:r>
            <w:r w:rsidR="00000000" w:rsidRPr="00000000" w:rsidDel="00000000">
              <w:rPr>
                <w:i w:val="1"/>
                <w:rtl w:val="0"/>
              </w:rPr>
              <w:t xml:space="preserve">3.08.00. Eiropas Sociālā fonda (ESF) projektu un pasākumu īstenošana (2021-2027)</w:t>
            </w:r>
            <w:r w:rsidR="00000000" w:rsidRPr="00000000" w:rsidDel="00000000">
              <w:rPr>
                <w:rtl w:val="0"/>
              </w:rPr>
              <w:t xml:space="preserve">), jo Eiropas Savienības </w:t>
            </w:r>
            <w:r w:rsidR="00000000" w:rsidRPr="00000000" w:rsidDel="00000000">
              <w:rPr>
                <w:rtl w:val="0"/>
              </w:rPr>
              <w:t xml:space="preserve">2021.- 2027.gada plānošanas periodā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EIROPAS PARLAMENTA UN PADOMES REGULA (ES) 2021/1057 (2021. gada 24. jūnijs),ar ko izveido Eiropas Sociālo fondu Plus (ESF+) un atceļ Regulu (ES) Nr. 1296/2013 ir </w:t>
            </w:r>
            <w:r w:rsidR="00000000" w:rsidRPr="00000000" w:rsidDel="00000000">
              <w:rPr>
                <w:b w:val="1"/>
                <w:rtl w:val="0"/>
              </w:rPr>
              <w:t xml:space="preserve">Eiropas Sociālais fonds Plus (ESF+)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Zariņa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