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24-TA-2027: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speciālās regulatīvās vides izveidi un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Nozares ministrija, viena mēneša laikā pēc pieteikuma saņemšanas no Aģentūras, izvērtējot komersanta pieteikuma atbilstību šo noteikumu </w:t>
            </w:r>
            <w:r w:rsidR="00000000" w:rsidRPr="00000000" w:rsidDel="00000000">
              <w:rPr>
                <w:rtl w:val="0"/>
              </w:rPr>
              <w:t xml:space="preserve">3. </w:t>
            </w:r>
            <w:r w:rsidR="00000000" w:rsidRPr="00000000" w:rsidDel="00000000">
              <w:rPr>
                <w:rtl w:val="0"/>
              </w:rPr>
              <w:t xml:space="preserve">punktam,</w:t>
            </w:r>
            <w:r w:rsidR="00000000" w:rsidRPr="00000000" w:rsidDel="00000000">
              <w:rPr>
                <w:rtl w:val="0"/>
              </w:rPr>
              <w:t xml:space="preserve"> ne ilgāk kā trīs mēnešu laikā izstrādā tiesību aktu projektu vai informatīvo ziņojumu, kas nepieciešams speciālās regulatīvās vides īstenošanai, un steidzamības kārtībā virza tos izskatīšanai Ministru kabinetā lēmuma pieņemšanai par speciālās regulatīvās vides izveidi.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 Noteikumu projekta nav skaidrs, vai, izstrādājot vai grozot speciālās regulatīvas vides tiesību aktus tiks paredzēta publisko līdzekļu piešķiršana konkrētajiem saimnieciskas darbības veicējiem, kas potenciāli var kvalificēties kā komercdarbības atbalsts, lūdzam papildināt Noteikumu projekta anotāciju, ar skaidrojumu, ka, izstrādājot Noteikumu projekta 10. punktā minētos tiesību aktus, kuru ietvaros tiks piešķirts publiskais finansējums saimnieciskas darbības veicējiem un pasākums atbildīs Komercdarbības atbalsta kontroles likuma 5.panta pazīmēm, šajos tiesību aktos tiks iekļauti piemērojamā komercdarbības atbalsta regulējuma nosacījumi.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Platace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speciālās regulatīvās vides izveidi un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Ekonomikas ministriju izvērtēt nepieciešamību Noteikumu projekta ietvaros un tā anotācijā atrunāt gadījumus un rīcību, kad regulatīvās vides izveide skar starpdisciplināru kompetenci un nepakrīt vienas nozares ministrijas kompetencē, kā arī noteikt nozares ministrijas darbības gadījumos, kad kādas regulatīvās vides izveidei ir nepieciešamas arī Rīgas domes atļauja (piemēram, kāda produkta vai tehnoloģijas testēšana pilsētvidē).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6.3.7. apliecinājums no apdrošināšanas sabiedrības, kas pamato gatavību apdrošināt ar speciālās regulatīvās vides īstenošanu saistītos riskus, ja tādi tiek radīti, tostarp trešajām personām, atbilstoši šo noteikumu </w:t>
            </w:r>
            <w:r w:rsidR="00000000" w:rsidRPr="00000000" w:rsidDel="00000000">
              <w:rPr>
                <w:rtl w:val="0"/>
              </w:rPr>
              <w:t xml:space="preserve">3.4. </w:t>
            </w:r>
            <w:r w:rsidR="00000000" w:rsidRPr="00000000" w:rsidDel="00000000">
              <w:rPr>
                <w:rtl w:val="0"/>
              </w:rPr>
              <w:t xml:space="preserve">apakšpunktam</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Ekonomikas ministriju Noteikumu projektu saskaņot arī ar apdrošināšanas jomas pārstāvjiem, nodrošinot to, ka Noteikumu  projektā netiek iestrādātas "tukšas" normas, atsaucoties uz š.g. 24.septembra starpministriju sanāksmē LMT norādīto, ka bieži vien praksē apdrošināšanas sabiedrības nav gatavas veikt eksperimentu apdrošināšanu.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Nozares ministrija, viena mēneša laikā pēc pieteikuma saņemšanas no Aģentūras, izvērtējot komersanta pieteikuma atbilstību šo noteikumu </w:t>
            </w:r>
            <w:r w:rsidR="00000000" w:rsidRPr="00000000" w:rsidDel="00000000">
              <w:rPr>
                <w:rtl w:val="0"/>
              </w:rPr>
              <w:t xml:space="preserve">3. </w:t>
            </w:r>
            <w:r w:rsidR="00000000" w:rsidRPr="00000000" w:rsidDel="00000000">
              <w:rPr>
                <w:rtl w:val="0"/>
              </w:rPr>
              <w:t xml:space="preserve">punktam,</w:t>
            </w:r>
            <w:r w:rsidR="00000000" w:rsidRPr="00000000" w:rsidDel="00000000">
              <w:rPr>
                <w:rtl w:val="0"/>
              </w:rPr>
              <w:t xml:space="preserve"> ne ilgāk kā trīs mēnešu laikā izstrādā tiesību aktu projektu vai informatīvo ziņojumu, kas nepieciešams speciālās regulatīvās vides īstenošanai, un steidzamības kārtībā virza tos izskatīšanai Ministru kabinetā lēmuma pieņemšanai par speciālās regulatīvās vides izveidi.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Ekonomikas ministriju, vadoties no esošās pieredzes un to, ka nozares ministrijām nav pieredzes izstrādāt regulējumus regulatīvajām smilšu kastēm izvērtēt, vai nozaru ministrijas spēs iekļauties 3 mēnešu laikā izstrādāt un savstarpēji saskaņot normatīvo aktu projektus regulatīvajām smilšu kastēm, un iesniegt tos MK saskaņošanai. Tāpat likuma grozījumu gadījumos, aicinām ņemt vērā, ka būs nepieciešams arī Saeimas akcepts.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Ja komersanta speciālās regulatīvās vides pieteikums neatbilst šo noteikumu </w:t>
            </w:r>
            <w:r w:rsidR="00000000" w:rsidRPr="00000000" w:rsidDel="00000000">
              <w:rPr>
                <w:rtl w:val="0"/>
              </w:rPr>
              <w:t xml:space="preserve">3. </w:t>
            </w:r>
            <w:r w:rsidR="00000000" w:rsidRPr="00000000" w:rsidDel="00000000">
              <w:rPr>
                <w:rtl w:val="0"/>
              </w:rPr>
              <w:t xml:space="preserve">punktam</w:t>
            </w:r>
            <w:r w:rsidR="00000000" w:rsidRPr="00000000" w:rsidDel="00000000">
              <w:rPr>
                <w:rtl w:val="0"/>
              </w:rPr>
              <w:t xml:space="preserve">, nozares ministrija informē pieteikuma iesniedzēju un Aģentūru, ka pieteikums par speciālās regulatīvās vides izveidi netiks virzīts izskatīšanai Ministru kabineta sēdē.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komersanta pieteikumu neviens neplāno virzīt izskatīšanai MK sēdē, bet gan tiesību aktu projektu vai informatīvo ziņojumu par regulatīvās vides izveidi un īstenošanu, aicinām attiecīgi precizēt 11.punkta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sabiedrības informēšanas vai iesaistes plānu;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piemēram, digitālās testēšanas vide, neskar sabiedrības intereses, aicinām Ekonomikas ministriju papildināt punkta redakciju, iekavās norādot vārdus "ja attiecināms".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sabiedrības informēšanas vai iesaistes plānu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anotāciju papildināt ar informāciju par nozaru ministriju līdzšinējo pieredzi regulatīvo smilšu kastu izstrādē (ir/nav), kā arī aicinām sniegt informāciju, vai EM/LIAA plāno veikt kādus nozaru ministriju informējošus pasākumus par šo tēmu, vai arī sākumposmā piedāvāt konsultatīvo atbalstu pirmo regulatīvo smilšu kastu izstrādē, ņemot vērā, ka LIAA atbilstoši Noteikumu projekta 2.punktam ir plānota vienotā kontaktpunkta loma, lai veicinātu šādu jautājumu ātrāku virzību.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24-TA-2027</w:t>
    </w:r>
    <w:r>
      <w:br/>
    </w:r>
    <w:r w:rsidR="00000000" w:rsidRPr="00000000" w:rsidDel="00000000">
      <w:rPr>
        <w:rtl w:val="0"/>
      </w:rPr>
      <w:t xml:space="preserve">Izdrukāts 26.09.2024. 16.11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24-TA-2027</w:t>
    </w:r>
    <w:r>
      <w:br/>
    </w:r>
    <w:r w:rsidR="00000000" w:rsidRPr="00000000" w:rsidDel="00000000">
      <w:rPr>
        <w:rtl w:val="0"/>
      </w:rPr>
      <w:t xml:space="preserve">Izdrukāts 26.09.2024. 16.11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Atzinumi_24-TA-2027.docx</dc:title>
</cp:coreProperties>
</file>

<file path=docProps/custom.xml><?xml version="1.0" encoding="utf-8"?>
<Properties xmlns="http://schemas.openxmlformats.org/officeDocument/2006/custom-properties" xmlns:vt="http://schemas.openxmlformats.org/officeDocument/2006/docPropsVTypes"/>
</file>