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Koksnes kvalitātes ekspertu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par izlases cirtes izpildi mežaudzē. Ja nogabalam ir reģistrēta pazīme par izlases cirtes izpildi, mežaudzē esošos atvērumus neizdala kā jaunus nogabalus.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"Noteikumi par koku ciršanu mežā" grozījumu 7.punktā noteikts "...Ja mežaudzei Meža valsts reģistrā ir reģistrēta pazīme par izlases cirtes izpildi, šķērslaukumu atsevišķi mežaudzes daļai nosaka tad, ja mežaudzes daļā šķērslaukums samazināts zem kritiskā šķērslaukuma par 0,5 hektāriem lielākā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nav iespējams mainīt nogabalu, ja meža inventarizācijas veicējs, konstatē, ka meža inventarizācijas dati neatbilst situācijai dabā piem. nogabalā meža tips ir Mr platība 5ha, meža inventarizācijas veicējs konstatē, ka 1ha platībā meža tips ir Dms, pēc šāda noteikumu nosacījuma nedrīkst izdalīt jaunu nogabalu.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ir norādīts "22.11. par izlases cirtes izpildi mežaudzē. Ja nogabalam ir reģistrēta pazīme par izlases cirtes izpildi, mežaudzē esošos atvērumus neizdala kā jaunus nogabalus."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nav precīzi noformulēta, jo to var saprast tā, ka mežaudzes daļu kur nav atvērums var izdalīt kā jaunu nogabalu.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par izlases cirtes izpildi mežaudzē.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 Meža inventarizācijas datu aktualizācijai var izmantot tālizpētes datu ieguves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nav noteikts kā un kādas tālizpētes datu ieguves tehnoloģijas tiks izmantotas meža inventarizācijas datu aktualizācijai,  ir noteikts, ka kārtību un algoritmus ko izmanto meža inventarizācijas datu aktualizēšanai saskaņo ar Zemkopības ministriju. Līdzīgi būtu jānosaka, ka arī tālizpētes datu ieguves tehnoloģiju izmantošanas kārtību saskaņo Zemkopības ministrija. Līdz brīdim kamēr tālizpētes datu ieguves tehnoloģiju veidi un to izmantošanas kārtība nav saskaņota MK noteikumu 24.punktu atstāt līdzšinējā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veicēji visu laiku ir iebilduši pret to, ka meža atjaunošanas un meža ieaudzēšanas pārskatā sniegtā informācija tiek pielīdzināta meža inventarizācijai. Veicot šos grozījumus to vajadzētu 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53.1. apakšpunktā minēto pārskatu, ja ar koku ciršanu mežaudzes šķērslaukums samazinās zem kritiskā šķērslaukuma, minēto pārskatu pielīdzina mežaudzes inventarizācijas datiem. Lai šo noteikumu 53.1. apakšpunktā minēto pārskatu, kas iesniegts par cirti, kurā ar koku ciršanu mežaudzes šķērslaukums netiek samazināts zem kritiskā šķērslaukuma, un šo noteikumu 56., 57. un 58. punktā minēto pārskatu pielīdzinātu meža inventarizācijas datiem, pārskatā papildus šo noteikumu 50. punktā  un 53.1. apakšpunktā vai 56., 57. un 58. punktā minētajam par mežaudzi norāda šo noteikumu 4. pielikuma 1. tabulas 3.2., 3.3., 3.4. un 3.5. apakšpunktā prasīto informāciju un šo pārskatu sagatavo sertificēts meža inventarizācijas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3.3, 3.4., 3.5. punkts paredz atteikties no pieļaujamās novirzes- "14-Teritorijā, kur aizliegta mežsaimnieciskā darbība,  pieļaujamo novirzi neierobežo"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pretrunā ar meža inventarizācijas būtību. Meža likuma 1.pants (1) 24) meža inventarizācija — informācijas iegūšana par mežu un tam piegulošiem purviem, meža infrastruktūras objektiem, mežā ietilpstošiem pārplūstošiem klajumiem, purviem un laucēm konkrētā meža īpašumā vai valdījumā un iegūtās informācijas dokumentēšana; ir definēta meža inventarizācija. Šāds nosacījums protams neizslēdz to, ka meža inventarizācija tiks veikta nosakot mežaudzes raksturojošos rādītājus atbilstoši situācijai dabā, bet tomēr šāds nosacījums devalvē meža inventarizācijas būtību. Šajā gadījumā nav noteikts, kas notiek, ja teritorijai maina statusu un atļauj saimniecisko darbību vai nogabalu raksturojošie rādītāji kurus nosaka 3.2., 3.3, 3.4., 3.5. punkts paliek spēkā vai arī jāveic jauna inventarizācija.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3.2.vidējais augstums</w:t>
            </w:r>
            <w:r w:rsidR="00000000" w:rsidRPr="00000000" w:rsidDel="00000000">
              <w:rPr>
                <w:vertAlign w:val="superscript"/>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3.3.vidējais caurmērs</w:t>
            </w:r>
            <w:r w:rsidR="00000000" w:rsidRPr="00000000" w:rsidDel="00000000">
              <w:rPr>
                <w:vertAlign w:val="superscript"/>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3.4.šķērslaukums</w:t>
            </w:r>
            <w:r w:rsidR="00000000" w:rsidRPr="00000000" w:rsidDel="00000000">
              <w:rPr>
                <w:vertAlign w:val="superscript"/>
                <w:rtl w:val="0"/>
              </w:rPr>
              <w:t xml:space="preserve">9,14</w:t>
            </w:r>
            <w:r w:rsidR="00000000" w:rsidRPr="00000000" w:rsidDel="00000000">
              <w:rPr>
                <w:rtl w:val="0"/>
              </w:rPr>
              <w:t xml:space="preserve"> , ja valdošās koku sugas koku vidējais augstums</w:t>
            </w:r>
            <w:r w:rsidR="00000000" w:rsidRPr="00000000" w:rsidDel="00000000">
              <w:rPr>
                <w:vertAlign w:val="superscript"/>
                <w:rtl w:val="0"/>
              </w:rPr>
              <w:t xml:space="preserve">10</w:t>
            </w:r>
            <w:r w:rsidR="00000000" w:rsidRPr="00000000" w:rsidDel="00000000">
              <w:rPr>
                <w:rtl w:val="0"/>
              </w:rPr>
              <w:t xml:space="preserve"> Hvid. &gt; 12 m vai vidējais caurmērs</w:t>
            </w:r>
            <w:r w:rsidR="00000000" w:rsidRPr="00000000" w:rsidDel="00000000">
              <w:rPr>
                <w:vertAlign w:val="superscript"/>
                <w:rtl w:val="0"/>
              </w:rPr>
              <w:t xml:space="preserve">11</w:t>
            </w:r>
            <w:r w:rsidR="00000000" w:rsidRPr="00000000" w:rsidDel="00000000">
              <w:rPr>
                <w:rtl w:val="0"/>
              </w:rPr>
              <w:t xml:space="preserve"> Dvid. &gt;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3.5.koku skaits</w:t>
            </w:r>
            <w:r w:rsidR="00000000" w:rsidRPr="00000000" w:rsidDel="00000000">
              <w:rPr>
                <w:vertAlign w:val="superscript"/>
                <w:rtl w:val="0"/>
              </w:rPr>
              <w:t xml:space="preserve">12,14</w:t>
            </w:r>
            <w:r w:rsidR="00000000" w:rsidRPr="00000000" w:rsidDel="00000000">
              <w:rPr>
                <w:rtl w:val="0"/>
              </w:rPr>
              <w:t xml:space="preserve">, ja valdošās koku sugas koku vidējais augstums</w:t>
            </w:r>
            <w:r w:rsidR="00000000" w:rsidRPr="00000000" w:rsidDel="00000000">
              <w:rPr>
                <w:vertAlign w:val="superscript"/>
                <w:rtl w:val="0"/>
              </w:rPr>
              <w:t xml:space="preserve">10</w:t>
            </w:r>
            <w:r w:rsidR="00000000" w:rsidRPr="00000000" w:rsidDel="00000000">
              <w:rPr>
                <w:rtl w:val="0"/>
              </w:rPr>
              <w:t xml:space="preserve"> Hvid. </w:t>
            </w:r>
            <w:r w:rsidR="00000000" w:rsidRPr="00000000" w:rsidDel="00000000">
              <w:rPr>
                <w:vertAlign w:val="superscript"/>
                <w:rtl w:val="0"/>
              </w:rPr>
              <w:t xml:space="preserve">11</w:t>
            </w:r>
            <w:r w:rsidR="00000000" w:rsidRPr="00000000" w:rsidDel="00000000">
              <w:rPr>
                <w:rtl w:val="0"/>
              </w:rPr>
              <w:t xml:space="preserve"> Dvid.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14</w:t>
            </w:r>
            <w:r w:rsidR="00000000" w:rsidRPr="00000000" w:rsidDel="00000000">
              <w:rPr>
                <w:rtl w:val="0"/>
              </w:rPr>
              <w:t xml:space="preserve"> Teritorijā, kur aizliegta mežsaimnieciskā darbība,  pieļaujamo novirzi nosaka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veicēji visu laiku ir iebilduši pret to, ka meža atjaunošanas un meža ieaudzēšanas pārskatā sniegtā informācija tiek pielīdzināta meža inventarizācijai. Veicot šos grozījumus to vajadzētu 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53.1. apakšpunktā minēto pārskatu, ja ar koku ciršanu mežaudzes šķērslaukums samazinās zem kritiskā šķērslaukuma, minēto pārskatu pielīdzina mežaudzes inventarizācijas datiem. Lai šo noteikumu 53.1. apakšpunktā minēto pārskatu, kas iesniegts par cirti, kurā ar koku ciršanu mežaudzes šķērslaukums netiek samazināts zem kritiskā šķērslaukuma, un šo noteikumu 56., 57. un 58. punktā minēto pārskatu pielīdzinātu meža inventarizācijas datiem, pārskatā papildus šo noteikumu 50. punktā  un 53.1. apakšpunktā vai 56., 57. un 58. punktā minētajam par mežaudzi norāda šo noteikumu 4. pielikuma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